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2E" w:rsidRDefault="0044282E" w:rsidP="0044282E">
      <w:pPr>
        <w:autoSpaceDE w:val="0"/>
        <w:spacing w:line="360" w:lineRule="auto"/>
        <w:jc w:val="left"/>
        <w:rPr>
          <w:rFonts w:ascii="方正黑体_GBK" w:hAnsi="方正黑体_GBK"/>
          <w:sz w:val="32"/>
          <w:szCs w:val="32"/>
        </w:rPr>
      </w:pPr>
      <w:r>
        <w:rPr>
          <w:rFonts w:ascii="方正黑体_GBK" w:hAnsi="方正黑体_GBK"/>
          <w:sz w:val="32"/>
          <w:szCs w:val="32"/>
        </w:rPr>
        <w:t>附件</w:t>
      </w:r>
    </w:p>
    <w:p w:rsidR="0044282E" w:rsidRDefault="0044282E" w:rsidP="0044282E">
      <w:pPr>
        <w:autoSpaceDE w:val="0"/>
        <w:spacing w:line="360" w:lineRule="auto"/>
        <w:jc w:val="center"/>
        <w:rPr>
          <w:rFonts w:ascii="方正小标宋_GBK" w:hAnsi="方正小标宋_GBK"/>
          <w:sz w:val="44"/>
          <w:szCs w:val="44"/>
        </w:rPr>
      </w:pPr>
      <w:r>
        <w:rPr>
          <w:rFonts w:ascii="方正小标宋_GBK" w:hAnsi="方正小标宋_GBK"/>
          <w:sz w:val="44"/>
          <w:szCs w:val="44"/>
        </w:rPr>
        <w:t>内蒙古自治区</w:t>
      </w:r>
      <w:r>
        <w:rPr>
          <w:rFonts w:ascii="方正小标宋_GBK" w:hAnsi="方正小标宋_GBK"/>
          <w:sz w:val="44"/>
          <w:szCs w:val="44"/>
        </w:rPr>
        <w:t>2022</w:t>
      </w:r>
      <w:r>
        <w:rPr>
          <w:rFonts w:ascii="方正小标宋_GBK" w:hAnsi="方正小标宋_GBK"/>
          <w:sz w:val="44"/>
          <w:szCs w:val="44"/>
        </w:rPr>
        <w:t>年限制类和淘汰类（装备）企业表</w:t>
      </w:r>
    </w:p>
    <w:tbl>
      <w:tblPr>
        <w:tblStyle w:val="a3"/>
        <w:tblW w:w="13890" w:type="dxa"/>
        <w:tblInd w:w="0" w:type="dxa"/>
        <w:tblLayout w:type="fixed"/>
        <w:tblLook w:val="04A0"/>
      </w:tblPr>
      <w:tblGrid>
        <w:gridCol w:w="810"/>
        <w:gridCol w:w="960"/>
        <w:gridCol w:w="3990"/>
        <w:gridCol w:w="1065"/>
        <w:gridCol w:w="2760"/>
        <w:gridCol w:w="2265"/>
        <w:gridCol w:w="2040"/>
      </w:tblGrid>
      <w:tr w:rsidR="0044282E" w:rsidTr="0044282E">
        <w:trPr>
          <w:trHeight w:val="595"/>
        </w:trPr>
        <w:tc>
          <w:tcPr>
            <w:tcW w:w="810" w:type="dxa"/>
            <w:tcBorders>
              <w:top w:val="single" w:sz="4" w:space="0" w:color="auto"/>
              <w:left w:val="single" w:sz="4" w:space="0" w:color="auto"/>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序号</w:t>
            </w:r>
          </w:p>
        </w:tc>
        <w:tc>
          <w:tcPr>
            <w:tcW w:w="960" w:type="dxa"/>
            <w:tcBorders>
              <w:top w:val="single" w:sz="4" w:space="0" w:color="auto"/>
              <w:left w:val="nil"/>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行业</w:t>
            </w:r>
          </w:p>
        </w:tc>
        <w:tc>
          <w:tcPr>
            <w:tcW w:w="3990" w:type="dxa"/>
            <w:tcBorders>
              <w:top w:val="single" w:sz="4" w:space="0" w:color="auto"/>
              <w:left w:val="nil"/>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企业名称</w:t>
            </w:r>
          </w:p>
        </w:tc>
        <w:tc>
          <w:tcPr>
            <w:tcW w:w="1065" w:type="dxa"/>
            <w:tcBorders>
              <w:top w:val="single" w:sz="4" w:space="0" w:color="auto"/>
              <w:left w:val="nil"/>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产品</w:t>
            </w:r>
          </w:p>
        </w:tc>
        <w:tc>
          <w:tcPr>
            <w:tcW w:w="2760" w:type="dxa"/>
            <w:tcBorders>
              <w:top w:val="single" w:sz="4" w:space="0" w:color="auto"/>
              <w:left w:val="nil"/>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限制类装备及数量</w:t>
            </w:r>
          </w:p>
        </w:tc>
        <w:tc>
          <w:tcPr>
            <w:tcW w:w="2265" w:type="dxa"/>
            <w:tcBorders>
              <w:top w:val="single" w:sz="4" w:space="0" w:color="auto"/>
              <w:left w:val="nil"/>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淘汰类装备及数量</w:t>
            </w:r>
          </w:p>
        </w:tc>
        <w:tc>
          <w:tcPr>
            <w:tcW w:w="2040" w:type="dxa"/>
            <w:tcBorders>
              <w:top w:val="single" w:sz="4" w:space="0" w:color="auto"/>
              <w:left w:val="nil"/>
              <w:bottom w:val="single" w:sz="4" w:space="0" w:color="auto"/>
              <w:right w:val="single" w:sz="4" w:space="0" w:color="auto"/>
            </w:tcBorders>
            <w:vAlign w:val="bottom"/>
            <w:hideMark/>
          </w:tcPr>
          <w:p w:rsidR="0044282E" w:rsidRDefault="0044282E">
            <w:pPr>
              <w:autoSpaceDE w:val="0"/>
              <w:spacing w:after="0" w:line="360" w:lineRule="auto"/>
              <w:jc w:val="center"/>
              <w:rPr>
                <w:rFonts w:ascii="黑体" w:eastAsia="黑体" w:hAnsi="黑体"/>
                <w:kern w:val="2"/>
                <w:sz w:val="24"/>
                <w:szCs w:val="24"/>
              </w:rPr>
            </w:pPr>
            <w:r>
              <w:rPr>
                <w:rFonts w:ascii="黑体" w:eastAsia="黑体" w:hAnsi="黑体" w:hint="eastAsia"/>
                <w:sz w:val="24"/>
                <w:szCs w:val="24"/>
              </w:rPr>
              <w:t>所在盟市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1</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包头市</w:t>
            </w:r>
            <w:proofErr w:type="gramStart"/>
            <w:r>
              <w:rPr>
                <w:rFonts w:ascii="仿宋" w:eastAsia="仿宋" w:hAnsi="仿宋" w:hint="eastAsia"/>
                <w:color w:val="000000"/>
                <w:sz w:val="24"/>
                <w:szCs w:val="24"/>
              </w:rPr>
              <w:t>绎</w:t>
            </w:r>
            <w:proofErr w:type="gramEnd"/>
            <w:r>
              <w:rPr>
                <w:rFonts w:ascii="仿宋" w:eastAsia="仿宋" w:hAnsi="仿宋" w:hint="eastAsia"/>
                <w:color w:val="000000"/>
                <w:sz w:val="24"/>
                <w:szCs w:val="24"/>
              </w:rPr>
              <w:t>斯迈特高新材料有限公司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低碳硅系合金</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2</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包头士海资源科技有限公司（包头澳海金属化工有限责任公司）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硅锰</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725"/>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3</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包头欧马金属合金有限公司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425"/>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4</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包头三维资源有限公司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8×8000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5</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包头市坤达硅业有限公司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6</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包头市金星合金有限责任</w:t>
            </w:r>
          </w:p>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1×8000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7</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包头光明冶炼有限公司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1×8000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lastRenderedPageBreak/>
              <w:t>8</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包头云海金属有限公司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2×8000</w:t>
            </w:r>
          </w:p>
        </w:tc>
        <w:tc>
          <w:tcPr>
            <w:tcW w:w="2265" w:type="dxa"/>
            <w:tcBorders>
              <w:top w:val="single" w:sz="4" w:space="0" w:color="auto"/>
              <w:left w:val="nil"/>
              <w:bottom w:val="single" w:sz="4" w:space="0" w:color="auto"/>
              <w:right w:val="single" w:sz="4" w:space="0" w:color="auto"/>
            </w:tcBorders>
          </w:tcPr>
          <w:p w:rsidR="0044282E" w:rsidRDefault="0044282E">
            <w:pPr>
              <w:autoSpaceDE w:val="0"/>
              <w:spacing w:after="0" w:line="360" w:lineRule="auto"/>
              <w:jc w:val="center"/>
              <w:rPr>
                <w:rFonts w:ascii="仿宋" w:eastAsia="仿宋" w:hAnsi="仿宋"/>
                <w:kern w:val="2"/>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9</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包头市金阳铁合金有限责任</w:t>
            </w:r>
          </w:p>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低碳硅系合金</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widowControl/>
              <w:autoSpaceDE w:val="0"/>
              <w:spacing w:after="0" w:line="360" w:lineRule="auto"/>
              <w:jc w:val="center"/>
              <w:textAlignment w:val="center"/>
              <w:rPr>
                <w:rFonts w:ascii="仿宋" w:eastAsia="仿宋" w:hAnsi="仿宋"/>
                <w:color w:val="000000"/>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10</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包头彤方冶炼有限责任公司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镍铁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3×12500</w:t>
            </w:r>
          </w:p>
        </w:tc>
        <w:tc>
          <w:tcPr>
            <w:tcW w:w="2265" w:type="dxa"/>
            <w:tcBorders>
              <w:top w:val="single" w:sz="4" w:space="0" w:color="auto"/>
              <w:left w:val="nil"/>
              <w:bottom w:val="single" w:sz="4" w:space="0" w:color="auto"/>
              <w:right w:val="single" w:sz="4" w:space="0" w:color="auto"/>
            </w:tcBorders>
          </w:tcPr>
          <w:p w:rsidR="0044282E" w:rsidRDefault="0044282E">
            <w:pPr>
              <w:widowControl/>
              <w:autoSpaceDE w:val="0"/>
              <w:spacing w:after="0" w:line="360" w:lineRule="auto"/>
              <w:jc w:val="center"/>
              <w:textAlignment w:val="center"/>
              <w:rPr>
                <w:rFonts w:ascii="仿宋" w:eastAsia="仿宋" w:hAnsi="仿宋"/>
                <w:color w:val="000000"/>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11</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包头市大洲化工冶炼有限责任公司现变更为包头市旭嵘科技有限公司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镍铁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widowControl/>
              <w:autoSpaceDE w:val="0"/>
              <w:spacing w:after="0" w:line="360" w:lineRule="auto"/>
              <w:jc w:val="center"/>
              <w:textAlignment w:val="center"/>
              <w:rPr>
                <w:rFonts w:ascii="仿宋" w:eastAsia="仿宋" w:hAnsi="仿宋"/>
                <w:color w:val="000000"/>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12</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roofErr w:type="gramStart"/>
            <w:r>
              <w:rPr>
                <w:rFonts w:ascii="仿宋" w:eastAsia="仿宋" w:hAnsi="仿宋" w:hint="eastAsia"/>
                <w:color w:val="000000"/>
                <w:sz w:val="24"/>
                <w:szCs w:val="24"/>
              </w:rPr>
              <w:t>鑫</w:t>
            </w:r>
            <w:proofErr w:type="gramEnd"/>
            <w:r>
              <w:rPr>
                <w:rFonts w:ascii="仿宋" w:eastAsia="仿宋" w:hAnsi="仿宋" w:hint="eastAsia"/>
                <w:color w:val="000000"/>
                <w:sz w:val="24"/>
                <w:szCs w:val="24"/>
              </w:rPr>
              <w:t>银化工有限责任</w:t>
            </w:r>
          </w:p>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低碳硅系合金</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1×12500</w:t>
            </w:r>
          </w:p>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1×8000</w:t>
            </w:r>
          </w:p>
        </w:tc>
        <w:tc>
          <w:tcPr>
            <w:tcW w:w="2265" w:type="dxa"/>
            <w:tcBorders>
              <w:top w:val="single" w:sz="4" w:space="0" w:color="auto"/>
              <w:left w:val="nil"/>
              <w:bottom w:val="single" w:sz="4" w:space="0" w:color="auto"/>
              <w:right w:val="single" w:sz="4" w:space="0" w:color="auto"/>
            </w:tcBorders>
          </w:tcPr>
          <w:p w:rsidR="0044282E" w:rsidRDefault="0044282E">
            <w:pPr>
              <w:widowControl/>
              <w:autoSpaceDE w:val="0"/>
              <w:spacing w:after="0" w:line="360" w:lineRule="auto"/>
              <w:jc w:val="center"/>
              <w:textAlignment w:val="center"/>
              <w:rPr>
                <w:rFonts w:ascii="仿宋" w:eastAsia="仿宋" w:hAnsi="仿宋"/>
                <w:color w:val="000000"/>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13</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包头市广</w:t>
            </w:r>
            <w:proofErr w:type="gramStart"/>
            <w:r>
              <w:rPr>
                <w:rFonts w:ascii="仿宋" w:eastAsia="仿宋" w:hAnsi="仿宋" w:hint="eastAsia"/>
                <w:color w:val="000000"/>
                <w:sz w:val="24"/>
                <w:szCs w:val="24"/>
              </w:rPr>
              <w:t>鑫</w:t>
            </w:r>
            <w:proofErr w:type="gramEnd"/>
            <w:r>
              <w:rPr>
                <w:rFonts w:ascii="仿宋" w:eastAsia="仿宋" w:hAnsi="仿宋" w:hint="eastAsia"/>
                <w:color w:val="000000"/>
                <w:sz w:val="24"/>
                <w:szCs w:val="24"/>
              </w:rPr>
              <w:t>稀土铁合金有限</w:t>
            </w:r>
          </w:p>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kern w:val="2"/>
                <w:sz w:val="24"/>
                <w:szCs w:val="24"/>
              </w:rPr>
            </w:pPr>
            <w:r>
              <w:rPr>
                <w:rFonts w:ascii="仿宋" w:eastAsia="仿宋" w:hAnsi="仿宋" w:hint="eastAsia"/>
                <w:color w:val="000000"/>
                <w:sz w:val="24"/>
                <w:szCs w:val="24"/>
              </w:rPr>
              <w:t>2×12500</w:t>
            </w:r>
          </w:p>
        </w:tc>
        <w:tc>
          <w:tcPr>
            <w:tcW w:w="2265" w:type="dxa"/>
            <w:tcBorders>
              <w:top w:val="single" w:sz="4" w:space="0" w:color="auto"/>
              <w:left w:val="nil"/>
              <w:bottom w:val="single" w:sz="4" w:space="0" w:color="auto"/>
              <w:right w:val="single" w:sz="4" w:space="0" w:color="auto"/>
            </w:tcBorders>
          </w:tcPr>
          <w:p w:rsidR="0044282E" w:rsidRDefault="0044282E">
            <w:pPr>
              <w:widowControl/>
              <w:autoSpaceDE w:val="0"/>
              <w:spacing w:after="0" w:line="360" w:lineRule="auto"/>
              <w:jc w:val="center"/>
              <w:textAlignment w:val="center"/>
              <w:rPr>
                <w:rFonts w:ascii="仿宋" w:eastAsia="仿宋" w:hAnsi="仿宋"/>
                <w:color w:val="000000"/>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包头市</w:t>
            </w:r>
          </w:p>
        </w:tc>
      </w:tr>
      <w:tr w:rsidR="0044282E" w:rsidTr="0044282E">
        <w:trPr>
          <w:trHeight w:val="594"/>
        </w:trPr>
        <w:tc>
          <w:tcPr>
            <w:tcW w:w="810" w:type="dxa"/>
            <w:tcBorders>
              <w:top w:val="single" w:sz="4" w:space="0" w:color="auto"/>
              <w:left w:val="single" w:sz="4" w:space="0" w:color="auto"/>
              <w:bottom w:val="single" w:sz="4" w:space="0" w:color="auto"/>
              <w:right w:val="single" w:sz="4" w:space="0" w:color="auto"/>
            </w:tcBorders>
            <w:vAlign w:val="center"/>
            <w:hideMark/>
          </w:tcPr>
          <w:p w:rsidR="0044282E" w:rsidRDefault="0044282E">
            <w:pPr>
              <w:autoSpaceDE w:val="0"/>
              <w:spacing w:after="0" w:line="360" w:lineRule="auto"/>
              <w:jc w:val="center"/>
              <w:rPr>
                <w:rFonts w:ascii="仿宋" w:eastAsia="仿宋" w:hAnsi="仿宋"/>
                <w:kern w:val="2"/>
                <w:sz w:val="24"/>
                <w:szCs w:val="24"/>
              </w:rPr>
            </w:pPr>
            <w:r>
              <w:rPr>
                <w:rFonts w:ascii="仿宋" w:eastAsia="仿宋" w:hAnsi="仿宋" w:hint="eastAsia"/>
                <w:sz w:val="24"/>
                <w:szCs w:val="24"/>
              </w:rPr>
              <w:t>14</w:t>
            </w:r>
          </w:p>
        </w:tc>
        <w:tc>
          <w:tcPr>
            <w:tcW w:w="9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铁合金</w:t>
            </w:r>
          </w:p>
        </w:tc>
        <w:tc>
          <w:tcPr>
            <w:tcW w:w="399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乌拉特中旗荣华矿业有限责任公司</w:t>
            </w:r>
          </w:p>
        </w:tc>
        <w:tc>
          <w:tcPr>
            <w:tcW w:w="1065"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硅铁</w:t>
            </w:r>
          </w:p>
        </w:tc>
        <w:tc>
          <w:tcPr>
            <w:tcW w:w="276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1×12500KVA</w:t>
            </w:r>
          </w:p>
        </w:tc>
        <w:tc>
          <w:tcPr>
            <w:tcW w:w="2265" w:type="dxa"/>
            <w:tcBorders>
              <w:top w:val="single" w:sz="4" w:space="0" w:color="auto"/>
              <w:left w:val="nil"/>
              <w:bottom w:val="single" w:sz="4" w:space="0" w:color="auto"/>
              <w:right w:val="single" w:sz="4" w:space="0" w:color="auto"/>
            </w:tcBorders>
          </w:tcPr>
          <w:p w:rsidR="0044282E" w:rsidRDefault="0044282E">
            <w:pPr>
              <w:widowControl/>
              <w:autoSpaceDE w:val="0"/>
              <w:spacing w:after="0" w:line="360" w:lineRule="auto"/>
              <w:jc w:val="center"/>
              <w:textAlignment w:val="center"/>
              <w:rPr>
                <w:rFonts w:ascii="仿宋" w:eastAsia="仿宋" w:hAnsi="仿宋"/>
                <w:color w:val="000000"/>
                <w:sz w:val="24"/>
                <w:szCs w:val="24"/>
              </w:rPr>
            </w:pPr>
          </w:p>
        </w:tc>
        <w:tc>
          <w:tcPr>
            <w:tcW w:w="2040" w:type="dxa"/>
            <w:tcBorders>
              <w:top w:val="single" w:sz="4" w:space="0" w:color="auto"/>
              <w:left w:val="nil"/>
              <w:bottom w:val="single" w:sz="4" w:space="0" w:color="auto"/>
              <w:right w:val="single" w:sz="4" w:space="0" w:color="auto"/>
            </w:tcBorders>
            <w:vAlign w:val="center"/>
            <w:hideMark/>
          </w:tcPr>
          <w:p w:rsidR="0044282E" w:rsidRDefault="0044282E">
            <w:pPr>
              <w:widowControl/>
              <w:autoSpaceDE w:val="0"/>
              <w:spacing w:after="0" w:line="360" w:lineRule="auto"/>
              <w:jc w:val="center"/>
              <w:textAlignment w:val="center"/>
              <w:rPr>
                <w:rFonts w:ascii="仿宋" w:eastAsia="仿宋" w:hAnsi="仿宋"/>
                <w:color w:val="000000"/>
                <w:sz w:val="24"/>
                <w:szCs w:val="24"/>
              </w:rPr>
            </w:pPr>
            <w:r>
              <w:rPr>
                <w:rFonts w:ascii="仿宋" w:eastAsia="仿宋" w:hAnsi="仿宋" w:hint="eastAsia"/>
                <w:color w:val="000000"/>
                <w:sz w:val="24"/>
                <w:szCs w:val="24"/>
              </w:rPr>
              <w:t>巴彦</w:t>
            </w:r>
            <w:proofErr w:type="gramStart"/>
            <w:r>
              <w:rPr>
                <w:rFonts w:ascii="仿宋" w:eastAsia="仿宋" w:hAnsi="仿宋" w:hint="eastAsia"/>
                <w:color w:val="000000"/>
                <w:sz w:val="24"/>
                <w:szCs w:val="24"/>
              </w:rPr>
              <w:t>淖尔市</w:t>
            </w:r>
            <w:proofErr w:type="gramEnd"/>
          </w:p>
        </w:tc>
      </w:tr>
    </w:tbl>
    <w:p w:rsidR="0044282E" w:rsidRDefault="0044282E" w:rsidP="0044282E">
      <w:pPr>
        <w:spacing w:line="360" w:lineRule="auto"/>
        <w:jc w:val="center"/>
        <w:rPr>
          <w:rFonts w:ascii="仿宋" w:eastAsia="仿宋" w:hAnsi="仿宋"/>
          <w:sz w:val="24"/>
          <w:szCs w:val="24"/>
        </w:rPr>
      </w:pPr>
      <w:r>
        <w:rPr>
          <w:rFonts w:ascii="仿宋" w:eastAsia="仿宋" w:hAnsi="仿宋" w:hint="eastAsia"/>
          <w:sz w:val="24"/>
          <w:szCs w:val="24"/>
        </w:rPr>
        <w:t xml:space="preserve"> </w:t>
      </w:r>
    </w:p>
    <w:p w:rsidR="00827EAF" w:rsidRDefault="00827EAF"/>
    <w:sectPr w:rsidR="00827EAF" w:rsidSect="0044282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82E"/>
    <w:rsid w:val="001E18AC"/>
    <w:rsid w:val="00283AAD"/>
    <w:rsid w:val="00326C8A"/>
    <w:rsid w:val="0044282E"/>
    <w:rsid w:val="0075355B"/>
    <w:rsid w:val="007A6164"/>
    <w:rsid w:val="00827EAF"/>
    <w:rsid w:val="00AD0D96"/>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2E"/>
    <w:pPr>
      <w:widowControl w:val="0"/>
      <w:spacing w:before="100" w:beforeAutospacing="1" w:after="160" w:line="256"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44282E"/>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45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2022-08-18T08:43:00Z</dcterms:created>
  <dcterms:modified xsi:type="dcterms:W3CDTF">2022-08-18T08:44:00Z</dcterms:modified>
</cp:coreProperties>
</file>