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333333"/>
          <w:spacing w:val="0"/>
          <w:sz w:val="44"/>
          <w:szCs w:val="44"/>
          <w:lang w:eastAsia="zh-CN"/>
        </w:rPr>
      </w:pPr>
      <w:r>
        <w:rPr>
          <w:rFonts w:hint="eastAsia" w:ascii="方正小标宋简体" w:hAnsi="方正小标宋简体" w:eastAsia="方正小标宋简体" w:cs="方正小标宋简体"/>
          <w:b w:val="0"/>
          <w:bCs/>
          <w:sz w:val="44"/>
          <w:szCs w:val="44"/>
          <w:lang w:eastAsia="zh-CN"/>
        </w:rPr>
        <w:t>内蒙古自治区</w:t>
      </w:r>
      <w:r>
        <w:rPr>
          <w:rFonts w:hint="eastAsia" w:ascii="方正小标宋简体" w:hAnsi="方正小标宋简体" w:eastAsia="方正小标宋简体" w:cs="方正小标宋简体"/>
          <w:i w:val="0"/>
          <w:caps w:val="0"/>
          <w:color w:val="333333"/>
          <w:spacing w:val="0"/>
          <w:sz w:val="44"/>
          <w:szCs w:val="44"/>
          <w:lang w:eastAsia="zh-CN"/>
        </w:rPr>
        <w:t>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i w:val="0"/>
          <w:caps w:val="0"/>
          <w:color w:val="333333"/>
          <w:spacing w:val="0"/>
          <w:sz w:val="44"/>
          <w:szCs w:val="44"/>
          <w:lang w:eastAsia="zh-CN"/>
        </w:rPr>
        <w:t>数字化转型试点</w:t>
      </w:r>
      <w:r>
        <w:rPr>
          <w:rFonts w:hint="eastAsia" w:ascii="方正小标宋简体" w:hAnsi="方正小标宋简体" w:eastAsia="方正小标宋简体" w:cs="方正小标宋简体"/>
          <w:b w:val="0"/>
          <w:bCs/>
          <w:sz w:val="44"/>
          <w:szCs w:val="44"/>
        </w:rPr>
        <w:t>申报指南</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支持方向</w:t>
      </w:r>
    </w:p>
    <w:p>
      <w:pPr>
        <w:ind w:firstLine="640" w:firstLineChars="200"/>
        <w:rPr>
          <w:rFonts w:hint="eastAsia" w:ascii="仿宋_GB2312" w:hAnsi="仿宋_GB2312" w:eastAsia="仿宋_GB2312" w:cs="仿宋_GB2312"/>
          <w:b w:val="0"/>
          <w:bCs w:val="0"/>
          <w:i w:val="0"/>
          <w:caps w:val="0"/>
          <w:color w:val="333333"/>
          <w:spacing w:val="0"/>
          <w:sz w:val="32"/>
          <w:szCs w:val="32"/>
          <w:lang w:eastAsia="zh-CN"/>
        </w:rPr>
      </w:pPr>
      <w:r>
        <w:rPr>
          <w:rFonts w:hint="eastAsia" w:ascii="仿宋_GB2312" w:hAnsi="仿宋_GB2312" w:eastAsia="仿宋_GB2312" w:cs="仿宋_GB2312"/>
          <w:b w:val="0"/>
          <w:bCs w:val="0"/>
          <w:i w:val="0"/>
          <w:caps w:val="0"/>
          <w:color w:val="333333"/>
          <w:spacing w:val="0"/>
          <w:sz w:val="32"/>
          <w:szCs w:val="32"/>
          <w:lang w:eastAsia="zh-CN"/>
        </w:rPr>
        <w:t>重点聚焦内蒙古八大产业集群十六条重点产业链的中小企业作为数字化转型试点的重点方向，由各地结合发展实际、发展阶段和发展需求申报服务平台和对应改造的企业名单。培育一批扎根细分行业，熟悉中小企业需求的服务平台，为中小企业提供转型咨询、诊断评估、设备改造、软件应用等一揽子数字化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二、申报条件</w:t>
      </w:r>
    </w:p>
    <w:p>
      <w:pPr>
        <w:ind w:firstLine="640" w:firstLineChars="200"/>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lang w:eastAsia="zh-CN"/>
        </w:rPr>
        <w:t>（一）平台</w:t>
      </w:r>
      <w:r>
        <w:rPr>
          <w:rFonts w:hint="eastAsia" w:ascii="仿宋_GB2312" w:hAnsi="仿宋_GB2312" w:eastAsia="仿宋_GB2312" w:cs="仿宋_GB2312"/>
          <w:b w:val="0"/>
          <w:bCs w:val="0"/>
          <w:i w:val="0"/>
          <w:caps w:val="0"/>
          <w:color w:val="333333"/>
          <w:spacing w:val="0"/>
          <w:sz w:val="32"/>
          <w:szCs w:val="32"/>
        </w:rPr>
        <w:t>应</w:t>
      </w:r>
      <w:r>
        <w:rPr>
          <w:rFonts w:hint="eastAsia" w:ascii="仿宋_GB2312" w:hAnsi="仿宋_GB2312" w:eastAsia="仿宋_GB2312" w:cs="仿宋_GB2312"/>
          <w:b w:val="0"/>
          <w:bCs w:val="0"/>
          <w:i w:val="0"/>
          <w:caps w:val="0"/>
          <w:color w:val="333333"/>
          <w:spacing w:val="0"/>
          <w:sz w:val="32"/>
          <w:szCs w:val="32"/>
          <w:lang w:eastAsia="zh-CN"/>
        </w:rPr>
        <w:t>在</w:t>
      </w:r>
      <w:r>
        <w:rPr>
          <w:rFonts w:hint="eastAsia" w:ascii="仿宋_GB2312" w:hAnsi="仿宋_GB2312" w:eastAsia="仿宋_GB2312" w:cs="仿宋_GB2312"/>
          <w:b w:val="0"/>
          <w:bCs w:val="0"/>
          <w:i w:val="0"/>
          <w:caps w:val="0"/>
          <w:color w:val="333333"/>
          <w:spacing w:val="0"/>
          <w:sz w:val="32"/>
          <w:szCs w:val="32"/>
        </w:rPr>
        <w:t>我</w:t>
      </w:r>
      <w:r>
        <w:rPr>
          <w:rFonts w:hint="eastAsia" w:ascii="仿宋_GB2312" w:hAnsi="仿宋_GB2312" w:eastAsia="仿宋_GB2312" w:cs="仿宋_GB2312"/>
          <w:b w:val="0"/>
          <w:bCs w:val="0"/>
          <w:i w:val="0"/>
          <w:caps w:val="0"/>
          <w:color w:val="333333"/>
          <w:spacing w:val="0"/>
          <w:sz w:val="32"/>
          <w:szCs w:val="32"/>
          <w:lang w:eastAsia="zh-CN"/>
        </w:rPr>
        <w:t>区</w:t>
      </w:r>
      <w:r>
        <w:rPr>
          <w:rFonts w:hint="eastAsia" w:ascii="仿宋_GB2312" w:hAnsi="仿宋_GB2312" w:eastAsia="仿宋_GB2312" w:cs="仿宋_GB2312"/>
          <w:b w:val="0"/>
          <w:bCs w:val="0"/>
          <w:i w:val="0"/>
          <w:caps w:val="0"/>
          <w:color w:val="333333"/>
          <w:spacing w:val="0"/>
          <w:sz w:val="32"/>
          <w:szCs w:val="32"/>
        </w:rPr>
        <w:t>注册且具备独立法人资格</w:t>
      </w:r>
      <w:r>
        <w:rPr>
          <w:rFonts w:hint="eastAsia" w:ascii="仿宋_GB2312" w:hAnsi="仿宋_GB2312" w:eastAsia="仿宋_GB2312" w:cs="仿宋_GB2312"/>
          <w:b w:val="0"/>
          <w:bCs w:val="0"/>
          <w:i w:val="0"/>
          <w:caps w:val="0"/>
          <w:color w:val="333333"/>
          <w:spacing w:val="0"/>
          <w:sz w:val="32"/>
          <w:szCs w:val="32"/>
          <w:lang w:eastAsia="zh-CN"/>
        </w:rPr>
        <w:t>，</w:t>
      </w:r>
      <w:r>
        <w:rPr>
          <w:rFonts w:hint="eastAsia" w:ascii="仿宋_GB2312" w:hAnsi="仿宋_GB2312" w:eastAsia="仿宋_GB2312" w:cs="仿宋_GB2312"/>
          <w:b w:val="0"/>
          <w:bCs w:val="0"/>
          <w:i w:val="0"/>
          <w:caps w:val="0"/>
          <w:color w:val="333333"/>
          <w:spacing w:val="0"/>
          <w:sz w:val="32"/>
          <w:szCs w:val="32"/>
        </w:rPr>
        <w:t>长期聚焦细分领域从事数字化工作的服务商</w:t>
      </w:r>
      <w:r>
        <w:rPr>
          <w:rFonts w:hint="eastAsia" w:ascii="仿宋_GB2312" w:hAnsi="仿宋_GB2312" w:eastAsia="仿宋_GB2312" w:cs="仿宋_GB2312"/>
          <w:b w:val="0"/>
          <w:bCs w:val="0"/>
          <w:i w:val="0"/>
          <w:caps w:val="0"/>
          <w:color w:val="333333"/>
          <w:spacing w:val="0"/>
          <w:sz w:val="32"/>
          <w:szCs w:val="32"/>
          <w:lang w:eastAsia="zh-CN"/>
        </w:rPr>
        <w:t>。</w:t>
      </w:r>
    </w:p>
    <w:p>
      <w:pPr>
        <w:ind w:firstLine="640" w:firstLineChars="200"/>
        <w:rPr>
          <w:rFonts w:hint="eastAsia" w:ascii="仿宋_GB2312" w:hAnsi="仿宋_GB2312" w:eastAsia="仿宋_GB2312" w:cs="仿宋_GB2312"/>
          <w:b w:val="0"/>
          <w:bCs w:val="0"/>
          <w:i w:val="0"/>
          <w:caps w:val="0"/>
          <w:color w:val="333333"/>
          <w:spacing w:val="0"/>
          <w:sz w:val="32"/>
          <w:szCs w:val="32"/>
          <w:lang w:eastAsia="zh-CN"/>
        </w:rPr>
      </w:pPr>
      <w:r>
        <w:rPr>
          <w:rFonts w:hint="eastAsia" w:ascii="仿宋_GB2312" w:hAnsi="仿宋_GB2312" w:eastAsia="仿宋_GB2312" w:cs="仿宋_GB2312"/>
          <w:b w:val="0"/>
          <w:bCs w:val="0"/>
          <w:i w:val="0"/>
          <w:caps w:val="0"/>
          <w:color w:val="333333"/>
          <w:spacing w:val="0"/>
          <w:sz w:val="32"/>
          <w:szCs w:val="32"/>
          <w:lang w:eastAsia="zh-CN"/>
        </w:rPr>
        <w:t>（二）平台未</w:t>
      </w:r>
      <w:r>
        <w:rPr>
          <w:rFonts w:hint="eastAsia" w:ascii="仿宋_GB2312" w:hAnsi="仿宋_GB2312" w:eastAsia="仿宋_GB2312" w:cs="仿宋_GB2312"/>
          <w:b w:val="0"/>
          <w:bCs w:val="0"/>
          <w:i w:val="0"/>
          <w:caps w:val="0"/>
          <w:color w:val="333333"/>
          <w:spacing w:val="0"/>
          <w:sz w:val="32"/>
          <w:szCs w:val="32"/>
        </w:rPr>
        <w:t>列入经营异常名录和</w:t>
      </w:r>
      <w:r>
        <w:rPr>
          <w:rFonts w:hint="eastAsia" w:ascii="仿宋_GB2312" w:hAnsi="仿宋_GB2312" w:eastAsia="仿宋_GB2312" w:cs="仿宋_GB2312"/>
          <w:b w:val="0"/>
          <w:bCs w:val="0"/>
          <w:i w:val="0"/>
          <w:caps w:val="0"/>
          <w:color w:val="333333"/>
          <w:spacing w:val="0"/>
          <w:sz w:val="32"/>
          <w:szCs w:val="32"/>
          <w:lang w:val="en-US" w:eastAsia="zh-CN"/>
        </w:rPr>
        <w:t>严重失信主体名单</w:t>
      </w:r>
      <w:r>
        <w:rPr>
          <w:rFonts w:hint="eastAsia" w:ascii="仿宋_GB2312" w:hAnsi="仿宋_GB2312" w:eastAsia="仿宋_GB2312" w:cs="仿宋_GB2312"/>
          <w:b w:val="0"/>
          <w:bCs w:val="0"/>
          <w:i w:val="0"/>
          <w:caps w:val="0"/>
          <w:color w:val="333333"/>
          <w:spacing w:val="0"/>
          <w:sz w:val="32"/>
          <w:szCs w:val="32"/>
        </w:rPr>
        <w:t>。</w:t>
      </w:r>
    </w:p>
    <w:p>
      <w:pPr>
        <w:ind w:firstLine="640" w:firstLineChars="200"/>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lang w:eastAsia="zh-CN"/>
        </w:rPr>
        <w:t>（三）近三年未发生较大安全（含网络安全、数据安全）、质量、环境污染等事故及偷税等违法违规行为。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i w:val="0"/>
          <w:caps w:val="0"/>
          <w:color w:val="333333"/>
          <w:spacing w:val="0"/>
          <w:sz w:val="32"/>
          <w:szCs w:val="32"/>
          <w:lang w:val="en-US" w:eastAsia="zh-CN"/>
        </w:rPr>
      </w:pPr>
      <w:r>
        <w:rPr>
          <w:rFonts w:hint="eastAsia" w:ascii="仿宋_GB2312" w:hAnsi="仿宋_GB2312" w:eastAsia="仿宋_GB2312" w:cs="仿宋_GB2312"/>
          <w:b w:val="0"/>
          <w:bCs w:val="0"/>
          <w:i w:val="0"/>
          <w:caps w:val="0"/>
          <w:color w:val="333333"/>
          <w:spacing w:val="0"/>
          <w:sz w:val="32"/>
          <w:szCs w:val="32"/>
          <w:lang w:eastAsia="zh-CN"/>
        </w:rPr>
        <w:t>（四）平台应</w:t>
      </w:r>
      <w:r>
        <w:rPr>
          <w:rFonts w:hint="eastAsia" w:ascii="仿宋_GB2312" w:hAnsi="仿宋_GB2312" w:eastAsia="仿宋_GB2312" w:cs="仿宋_GB2312"/>
          <w:i w:val="0"/>
          <w:caps w:val="0"/>
          <w:color w:val="333333"/>
          <w:spacing w:val="0"/>
          <w:kern w:val="2"/>
          <w:sz w:val="32"/>
          <w:szCs w:val="32"/>
          <w:lang w:val="en" w:eastAsia="zh-CN" w:bidi="ar-SA"/>
        </w:rPr>
        <w:t>聚焦</w:t>
      </w:r>
      <w:r>
        <w:rPr>
          <w:rFonts w:hint="eastAsia" w:ascii="仿宋" w:hAnsi="仿宋" w:eastAsia="仿宋" w:cs="仿宋"/>
          <w:sz w:val="32"/>
          <w:szCs w:val="32"/>
          <w:lang w:val="en-US" w:eastAsia="zh-CN"/>
        </w:rPr>
        <w:t>某一细分行业，</w:t>
      </w:r>
      <w:r>
        <w:rPr>
          <w:rFonts w:hint="eastAsia" w:ascii="仿宋_GB2312" w:hAnsi="仿宋_GB2312" w:eastAsia="仿宋_GB2312" w:cs="仿宋_GB2312"/>
          <w:b w:val="0"/>
          <w:bCs w:val="0"/>
          <w:i w:val="0"/>
          <w:caps w:val="0"/>
          <w:color w:val="333333"/>
          <w:spacing w:val="0"/>
          <w:sz w:val="32"/>
          <w:szCs w:val="32"/>
        </w:rPr>
        <w:t>具有较好的行业知识积累、技术开发能力和行业服务生</w:t>
      </w:r>
      <w:r>
        <w:rPr>
          <w:rFonts w:hint="eastAsia" w:ascii="仿宋" w:hAnsi="仿宋" w:eastAsia="仿宋" w:cs="仿宋"/>
          <w:sz w:val="32"/>
          <w:szCs w:val="32"/>
          <w:lang w:val="en-US" w:eastAsia="zh-CN"/>
        </w:rPr>
        <w:t>态，能提炼该细分行业共性应用场景，</w:t>
      </w:r>
      <w:r>
        <w:rPr>
          <w:rFonts w:hint="eastAsia" w:ascii="仿宋_GB2312" w:hAnsi="仿宋_GB2312" w:eastAsia="仿宋_GB2312" w:cs="仿宋_GB2312"/>
          <w:b w:val="0"/>
          <w:bCs w:val="0"/>
          <w:i w:val="0"/>
          <w:caps w:val="0"/>
          <w:color w:val="333333"/>
          <w:spacing w:val="0"/>
          <w:sz w:val="32"/>
          <w:szCs w:val="32"/>
          <w:lang w:val="en-US" w:eastAsia="zh-CN"/>
        </w:rPr>
        <w:t>同时兼顾企业个性化需求，并能提出切实可行的系统解决方案。</w:t>
      </w:r>
      <w:r>
        <w:rPr>
          <w:rFonts w:hint="eastAsia" w:ascii="仿宋_GB2312" w:hAnsi="仿宋_GB2312" w:eastAsia="仿宋_GB2312" w:cs="仿宋_GB2312"/>
          <w:b w:val="0"/>
          <w:bCs w:val="0"/>
          <w:i w:val="0"/>
          <w:caps w:val="0"/>
          <w:color w:val="333333"/>
          <w:spacing w:val="0"/>
          <w:sz w:val="32"/>
          <w:szCs w:val="32"/>
        </w:rPr>
        <w:t>每个服务平台，每批只能申报一个细分行业</w:t>
      </w:r>
      <w:r>
        <w:rPr>
          <w:rFonts w:hint="eastAsia" w:ascii="仿宋_GB2312" w:hAnsi="仿宋_GB2312" w:eastAsia="仿宋_GB2312" w:cs="仿宋_GB2312"/>
          <w:b w:val="0"/>
          <w:bCs w:val="0"/>
          <w:i w:val="0"/>
          <w:caps w:val="0"/>
          <w:color w:val="333333"/>
          <w:spacing w:val="0"/>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333333"/>
          <w:spacing w:val="0"/>
          <w:kern w:val="2"/>
          <w:sz w:val="32"/>
          <w:szCs w:val="32"/>
          <w:lang w:val="en" w:eastAsia="zh-CN" w:bidi="ar-SA"/>
        </w:rPr>
        <w:t>（五）平台应具备</w:t>
      </w:r>
      <w:r>
        <w:rPr>
          <w:rFonts w:hint="eastAsia" w:ascii="仿宋_GB2312" w:hAnsi="仿宋_GB2312" w:eastAsia="仿宋_GB2312" w:cs="仿宋_GB2312"/>
          <w:b w:val="0"/>
          <w:bCs w:val="0"/>
          <w:i w:val="0"/>
          <w:caps w:val="0"/>
          <w:color w:val="333333"/>
          <w:spacing w:val="0"/>
          <w:sz w:val="32"/>
          <w:szCs w:val="32"/>
        </w:rPr>
        <w:t>为</w:t>
      </w:r>
      <w:r>
        <w:rPr>
          <w:rFonts w:hint="eastAsia" w:ascii="仿宋_GB2312" w:hAnsi="仿宋_GB2312" w:eastAsia="仿宋_GB2312" w:cs="仿宋_GB2312"/>
          <w:b w:val="0"/>
          <w:bCs w:val="0"/>
          <w:i w:val="0"/>
          <w:caps w:val="0"/>
          <w:color w:val="333333"/>
          <w:spacing w:val="0"/>
          <w:sz w:val="32"/>
          <w:szCs w:val="32"/>
          <w:lang w:eastAsia="zh-CN"/>
        </w:rPr>
        <w:t>某一</w:t>
      </w:r>
      <w:r>
        <w:rPr>
          <w:rFonts w:hint="eastAsia" w:ascii="仿宋_GB2312" w:hAnsi="仿宋_GB2312" w:eastAsia="仿宋_GB2312" w:cs="仿宋_GB2312"/>
          <w:b w:val="0"/>
          <w:bCs w:val="0"/>
          <w:i w:val="0"/>
          <w:caps w:val="0"/>
          <w:color w:val="333333"/>
          <w:spacing w:val="0"/>
          <w:sz w:val="32"/>
          <w:szCs w:val="32"/>
        </w:rPr>
        <w:t>细分行业企业提供转型咨询、诊断评估、设备改造、软件应用等一揽子数字化转型服务</w:t>
      </w:r>
      <w:r>
        <w:rPr>
          <w:rFonts w:hint="eastAsia" w:ascii="仿宋_GB2312" w:hAnsi="仿宋_GB2312" w:eastAsia="仿宋_GB2312" w:cs="仿宋_GB2312"/>
          <w:b w:val="0"/>
          <w:bCs w:val="0"/>
          <w:i w:val="0"/>
          <w:caps w:val="0"/>
          <w:color w:val="333333"/>
          <w:spacing w:val="0"/>
          <w:sz w:val="32"/>
          <w:szCs w:val="32"/>
          <w:lang w:eastAsia="zh-CN"/>
        </w:rPr>
        <w:t>的能力</w:t>
      </w:r>
      <w:r>
        <w:rPr>
          <w:rFonts w:hint="eastAsia" w:ascii="仿宋_GB2312" w:hAnsi="仿宋_GB2312" w:eastAsia="仿宋_GB2312" w:cs="仿宋_GB2312"/>
          <w:b w:val="0"/>
          <w:bCs w:val="0"/>
          <w:i w:val="0"/>
          <w:caps w:val="0"/>
          <w:color w:val="333333"/>
          <w:spacing w:val="0"/>
          <w:sz w:val="32"/>
          <w:szCs w:val="32"/>
        </w:rPr>
        <w:t>，并有若干已完成的细分行业数字化转型服务成功案例</w:t>
      </w:r>
      <w:r>
        <w:rPr>
          <w:rFonts w:hint="eastAsia" w:ascii="仿宋_GB2312" w:hAnsi="仿宋_GB2312" w:eastAsia="仿宋_GB2312" w:cs="仿宋_GB2312"/>
          <w:b w:val="0"/>
          <w:bCs w:val="0"/>
          <w:i w:val="0"/>
          <w:caps w:val="0"/>
          <w:color w:val="333333"/>
          <w:spacing w:val="0"/>
          <w:sz w:val="32"/>
          <w:szCs w:val="32"/>
          <w:lang w:eastAsia="zh-CN"/>
        </w:rPr>
        <w:t>。</w:t>
      </w:r>
    </w:p>
    <w:p>
      <w:pPr>
        <w:pStyle w:val="3"/>
        <w:ind w:firstLine="640" w:firstLineChars="200"/>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333333"/>
          <w:spacing w:val="0"/>
          <w:kern w:val="2"/>
          <w:sz w:val="32"/>
          <w:szCs w:val="32"/>
          <w:lang w:val="en" w:eastAsia="zh-CN" w:bidi="ar-SA"/>
        </w:rPr>
        <w:t>（六）本年度平台应</w:t>
      </w:r>
      <w:r>
        <w:rPr>
          <w:rFonts w:hint="eastAsia" w:ascii="仿宋" w:hAnsi="仿宋" w:eastAsia="仿宋" w:cs="仿宋"/>
          <w:sz w:val="32"/>
          <w:szCs w:val="32"/>
          <w:lang w:val="en-US" w:eastAsia="zh-CN"/>
        </w:rPr>
        <w:t>至少为某一细分领域的6家中小企业</w:t>
      </w:r>
      <w:r>
        <w:rPr>
          <w:rFonts w:hint="eastAsia" w:ascii="仿宋_GB2312" w:hAnsi="仿宋_GB2312" w:eastAsia="仿宋_GB2312" w:cs="仿宋_GB2312"/>
          <w:i w:val="0"/>
          <w:caps w:val="0"/>
          <w:color w:val="333333"/>
          <w:spacing w:val="0"/>
          <w:kern w:val="2"/>
          <w:sz w:val="32"/>
          <w:szCs w:val="32"/>
          <w:lang w:val="en" w:eastAsia="zh-CN" w:bidi="ar-SA"/>
        </w:rPr>
        <w:t>提供</w:t>
      </w:r>
      <w:r>
        <w:rPr>
          <w:rFonts w:hint="eastAsia" w:ascii="仿宋" w:hAnsi="仿宋" w:eastAsia="仿宋" w:cs="仿宋"/>
          <w:sz w:val="32"/>
          <w:szCs w:val="32"/>
          <w:lang w:val="en-US" w:eastAsia="zh-CN"/>
        </w:rPr>
        <w:t>数字化转型服务。</w:t>
      </w:r>
    </w:p>
    <w:p>
      <w:pPr>
        <w:pStyle w:val="7"/>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cs="宋体"/>
          <w:color w:val="000000"/>
          <w:kern w:val="0"/>
          <w:sz w:val="32"/>
          <w:szCs w:val="32"/>
          <w:shd w:val="clear" w:color="auto" w:fill="FFFFFF"/>
        </w:rPr>
        <w:t>申报</w:t>
      </w:r>
      <w:r>
        <w:rPr>
          <w:rFonts w:hint="eastAsia" w:ascii="仿宋" w:hAnsi="仿宋" w:eastAsia="仿宋" w:cs="宋体"/>
          <w:color w:val="000000"/>
          <w:kern w:val="0"/>
          <w:sz w:val="32"/>
          <w:szCs w:val="32"/>
          <w:shd w:val="clear" w:color="auto" w:fill="FFFFFF"/>
          <w:lang w:eastAsia="zh-CN"/>
        </w:rPr>
        <w:t>平台</w:t>
      </w:r>
      <w:r>
        <w:rPr>
          <w:rFonts w:hint="eastAsia" w:ascii="仿宋" w:hAnsi="仿宋" w:eastAsia="仿宋" w:cs="宋体"/>
          <w:color w:val="000000"/>
          <w:kern w:val="0"/>
          <w:sz w:val="32"/>
          <w:szCs w:val="32"/>
          <w:shd w:val="clear" w:color="auto" w:fill="FFFFFF"/>
        </w:rPr>
        <w:t>须按照申报类别</w:t>
      </w:r>
      <w:r>
        <w:rPr>
          <w:rFonts w:hint="eastAsia" w:ascii="仿宋" w:hAnsi="仿宋" w:eastAsia="仿宋" w:cs="宋体"/>
          <w:color w:val="000000"/>
          <w:kern w:val="0"/>
          <w:sz w:val="32"/>
          <w:szCs w:val="32"/>
          <w:shd w:val="clear" w:color="auto" w:fill="FFFFFF"/>
          <w:lang w:eastAsia="zh-CN"/>
        </w:rPr>
        <w:t>填报</w:t>
      </w:r>
      <w:r>
        <w:rPr>
          <w:rFonts w:hint="eastAsia" w:ascii="仿宋" w:hAnsi="仿宋" w:eastAsia="仿宋" w:cs="宋体"/>
          <w:color w:val="000000"/>
          <w:kern w:val="0"/>
          <w:sz w:val="32"/>
          <w:szCs w:val="32"/>
          <w:shd w:val="clear" w:color="auto" w:fill="FFFFFF"/>
        </w:rPr>
        <w:t>以下申请材料：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内蒙古自治区XX行业中小企业数字化转型试点申请报告；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法人证书或营业执照副本（复印件）；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在“信用中国”网站（www.creditchina.gov.cn）无不良记录和失信记录的证明材料（下载信用信息报告）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2023年XX市XX行业数字化转型绩效评价目标表；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本年度开展数字化转型服务的证明材料至少6家（服务合同、与服务合同相对应的发票、效果场景等）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其他相关佐证材料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sz w:val="32"/>
          <w:szCs w:val="32"/>
        </w:rPr>
        <w:t>凡符合申请条件的</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，按照申报</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要求准备相关材料，向所在旗县区工信局提出申请，由旗县区工信局初审合格后，报盟市工信局。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eastAsia="zh-CN"/>
        </w:rPr>
        <w:t>（二）</w:t>
      </w:r>
      <w:r>
        <w:rPr>
          <w:rFonts w:hint="eastAsia" w:ascii="仿宋_GB2312" w:hAnsi="仿宋_GB2312" w:eastAsia="仿宋_GB2312" w:cs="仿宋_GB2312"/>
          <w:sz w:val="32"/>
          <w:szCs w:val="32"/>
        </w:rPr>
        <w:t>盟市工信局对提交的申报材料进行审核，提出推荐意见后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welink平台</w:t>
      </w:r>
      <w:r>
        <w:rPr>
          <w:rFonts w:hint="eastAsia" w:ascii="仿宋_GB2312" w:hAnsi="仿宋_GB2312" w:eastAsia="仿宋_GB2312" w:cs="仿宋_GB2312"/>
          <w:sz w:val="32"/>
          <w:szCs w:val="32"/>
        </w:rPr>
        <w:t>上报自治区工信厅。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自治区工信厅聘请第三方机构对各盟市上报的企业申报材料进行评审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依据评审结果，经研究后，将拟认定</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名单在门户网站进行公示，接受社会监督。对公示无异议的</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认定为</w:t>
      </w:r>
      <w:r>
        <w:rPr>
          <w:rFonts w:hint="eastAsia" w:ascii="仿宋_GB2312" w:hAnsi="仿宋_GB2312" w:eastAsia="仿宋_GB2312" w:cs="仿宋_GB2312"/>
          <w:sz w:val="32"/>
          <w:szCs w:val="32"/>
          <w:lang w:eastAsia="zh-CN"/>
        </w:rPr>
        <w:t>数字化转型试点平台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五、相关要求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lang w:eastAsia="zh-CN"/>
        </w:rPr>
      </w:pPr>
      <w:r>
        <w:rPr>
          <w:rFonts w:hint="eastAsia" w:ascii="仿宋" w:hAnsi="仿宋" w:eastAsia="仿宋"/>
          <w:sz w:val="32"/>
          <w:lang w:eastAsia="zh-CN"/>
        </w:rPr>
        <w:t>（一）</w:t>
      </w:r>
      <w:r>
        <w:rPr>
          <w:rFonts w:hint="eastAsia" w:ascii="仿宋_GB2312" w:hAnsi="仿宋_GB2312" w:eastAsia="仿宋_GB2312" w:cs="仿宋_GB2312"/>
          <w:b w:val="0"/>
          <w:i w:val="0"/>
          <w:caps w:val="0"/>
          <w:color w:val="070707"/>
          <w:spacing w:val="0"/>
          <w:sz w:val="32"/>
          <w:szCs w:val="32"/>
          <w:lang w:val="en-US" w:eastAsia="zh-CN"/>
        </w:rPr>
        <w:t>申报采取线上填报与线下报送相结合的方式，线上与线下数据应保持一致</w:t>
      </w:r>
      <w:r>
        <w:rPr>
          <w:rFonts w:hint="eastAsia" w:ascii="仿宋" w:hAnsi="仿宋" w:eastAsia="仿宋"/>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 w:hAnsi="仿宋" w:eastAsia="仿宋"/>
          <w:kern w:val="0"/>
          <w:sz w:val="32"/>
          <w:szCs w:val="32"/>
          <w:lang w:eastAsia="zh-CN"/>
        </w:rPr>
        <w:t>（二）</w:t>
      </w:r>
      <w:r>
        <w:rPr>
          <w:rFonts w:hint="eastAsia" w:ascii="仿宋_GB2312" w:hAnsi="仿宋_GB2312" w:eastAsia="仿宋_GB2312" w:cs="仿宋_GB2312"/>
          <w:i w:val="0"/>
          <w:caps w:val="0"/>
          <w:color w:val="333333"/>
          <w:spacing w:val="0"/>
          <w:sz w:val="32"/>
          <w:szCs w:val="32"/>
          <w:lang w:eastAsia="zh-CN"/>
        </w:rPr>
        <w:t>各盟市工信局从</w:t>
      </w:r>
      <w:r>
        <w:rPr>
          <w:rFonts w:hint="eastAsia" w:ascii="仿宋_GB2312" w:hAnsi="仿宋_GB2312" w:eastAsia="仿宋_GB2312" w:cs="仿宋_GB2312"/>
          <w:i w:val="0"/>
          <w:caps w:val="0"/>
          <w:color w:val="333333"/>
          <w:spacing w:val="0"/>
          <w:sz w:val="32"/>
          <w:szCs w:val="32"/>
        </w:rPr>
        <w:t>《中小企业数字化转型试点细分行业列表》</w:t>
      </w:r>
      <w:r>
        <w:rPr>
          <w:rFonts w:hint="eastAsia" w:ascii="仿宋_GB2312" w:hAnsi="仿宋_GB2312" w:eastAsia="仿宋_GB2312" w:cs="仿宋_GB2312"/>
          <w:i w:val="0"/>
          <w:caps w:val="0"/>
          <w:color w:val="333333"/>
          <w:spacing w:val="0"/>
          <w:sz w:val="32"/>
          <w:szCs w:val="32"/>
          <w:lang w:eastAsia="zh-CN"/>
        </w:rPr>
        <w:t>（附件</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lang w:eastAsia="zh-CN"/>
        </w:rPr>
        <w:t>）的</w:t>
      </w:r>
      <w:r>
        <w:rPr>
          <w:rFonts w:hint="eastAsia" w:ascii="仿宋_GB2312" w:hAnsi="仿宋_GB2312" w:eastAsia="仿宋_GB2312" w:cs="仿宋_GB2312"/>
          <w:i w:val="0"/>
          <w:caps w:val="0"/>
          <w:color w:val="333333"/>
          <w:spacing w:val="0"/>
          <w:sz w:val="32"/>
          <w:szCs w:val="32"/>
        </w:rPr>
        <w:t>100个细分行业</w:t>
      </w:r>
      <w:r>
        <w:rPr>
          <w:rFonts w:hint="eastAsia" w:ascii="仿宋_GB2312" w:hAnsi="仿宋_GB2312" w:eastAsia="仿宋_GB2312" w:cs="仿宋_GB2312"/>
          <w:i w:val="0"/>
          <w:caps w:val="0"/>
          <w:color w:val="333333"/>
          <w:spacing w:val="0"/>
          <w:sz w:val="32"/>
          <w:szCs w:val="32"/>
          <w:lang w:eastAsia="zh-CN"/>
        </w:rPr>
        <w:t>中</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选择不超过</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个细分行业</w:t>
      </w:r>
      <w:r>
        <w:rPr>
          <w:rFonts w:hint="eastAsia" w:ascii="仿宋_GB2312" w:hAnsi="仿宋_GB2312" w:eastAsia="仿宋_GB2312" w:cs="仿宋_GB2312"/>
          <w:i w:val="0"/>
          <w:caps w:val="0"/>
          <w:color w:val="333333"/>
          <w:spacing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 w:hAnsi="仿宋" w:eastAsia="仿宋"/>
          <w:kern w:val="0"/>
          <w:sz w:val="32"/>
          <w:szCs w:val="32"/>
          <w:lang w:eastAsia="zh-CN"/>
        </w:rPr>
        <w:t>（三）</w:t>
      </w:r>
      <w:r>
        <w:rPr>
          <w:rFonts w:hint="eastAsia" w:ascii="仿宋_GB2312" w:hAnsi="仿宋_GB2312" w:eastAsia="仿宋_GB2312" w:cs="仿宋_GB2312"/>
          <w:i w:val="0"/>
          <w:caps w:val="0"/>
          <w:color w:val="333333"/>
          <w:spacing w:val="0"/>
          <w:sz w:val="32"/>
          <w:szCs w:val="32"/>
          <w:lang w:eastAsia="zh-CN"/>
        </w:rPr>
        <w:t>按照</w:t>
      </w:r>
      <w:r>
        <w:rPr>
          <w:rFonts w:hint="eastAsia" w:ascii="仿宋_GB2312" w:hAnsi="仿宋_GB2312" w:eastAsia="仿宋_GB2312" w:cs="仿宋_GB2312"/>
          <w:i w:val="0"/>
          <w:caps w:val="0"/>
          <w:color w:val="333333"/>
          <w:spacing w:val="0"/>
          <w:sz w:val="32"/>
          <w:szCs w:val="32"/>
        </w:rPr>
        <w:t>“市场有需求、企业有意愿、平台有能力”原则</w:t>
      </w:r>
      <w:r>
        <w:rPr>
          <w:rFonts w:hint="eastAsia" w:ascii="仿宋_GB2312" w:hAnsi="仿宋_GB2312" w:eastAsia="仿宋_GB2312" w:cs="仿宋_GB2312"/>
          <w:i w:val="0"/>
          <w:caps w:val="0"/>
          <w:color w:val="333333"/>
          <w:spacing w:val="0"/>
          <w:sz w:val="32"/>
          <w:szCs w:val="32"/>
          <w:lang w:eastAsia="zh-CN"/>
        </w:rPr>
        <w:t>，筛选能解决试点企业共性需求的</w:t>
      </w:r>
      <w:r>
        <w:rPr>
          <w:rFonts w:hint="eastAsia" w:ascii="仿宋_GB2312" w:hAnsi="仿宋_GB2312" w:eastAsia="仿宋_GB2312" w:cs="仿宋_GB2312"/>
          <w:i w:val="0"/>
          <w:caps w:val="0"/>
          <w:color w:val="333333"/>
          <w:spacing w:val="0"/>
          <w:sz w:val="32"/>
          <w:szCs w:val="32"/>
        </w:rPr>
        <w:t>服务平台</w:t>
      </w:r>
      <w:r>
        <w:rPr>
          <w:rFonts w:hint="eastAsia" w:ascii="仿宋_GB2312" w:hAnsi="仿宋_GB2312" w:eastAsia="仿宋_GB2312" w:cs="仿宋_GB2312"/>
          <w:i w:val="0"/>
          <w:caps w:val="0"/>
          <w:color w:val="333333"/>
          <w:spacing w:val="0"/>
          <w:sz w:val="32"/>
          <w:szCs w:val="32"/>
          <w:lang w:eastAsia="zh-CN"/>
        </w:rPr>
        <w:t>。每个细分行业推荐不超过</w:t>
      </w:r>
      <w:r>
        <w:rPr>
          <w:rFonts w:hint="eastAsia" w:ascii="仿宋_GB2312" w:hAnsi="仿宋_GB2312" w:eastAsia="仿宋_GB2312" w:cs="仿宋_GB2312"/>
          <w:i w:val="0"/>
          <w:caps w:val="0"/>
          <w:color w:val="333333"/>
          <w:spacing w:val="0"/>
          <w:sz w:val="32"/>
          <w:szCs w:val="32"/>
          <w:lang w:val="en-US" w:eastAsia="zh-CN"/>
        </w:rPr>
        <w:t>3个平台。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（四）盟市工信部门严格按照申报条件核实企业填报信息，在企业申请报告和汇总表上盖章，盟市工信和财政部门须联合行文于</w:t>
      </w:r>
      <w:r>
        <w:rPr>
          <w:rFonts w:hint="eastAsia" w:ascii="仿宋" w:hAnsi="仿宋" w:eastAsia="仿宋"/>
          <w:kern w:val="0"/>
          <w:sz w:val="32"/>
          <w:szCs w:val="32"/>
          <w:lang w:val="en-US" w:eastAsia="zh-CN"/>
        </w:rPr>
        <w:t>4月30日前</w:t>
      </w:r>
      <w:r>
        <w:rPr>
          <w:rFonts w:hint="eastAsia" w:ascii="仿宋" w:hAnsi="仿宋" w:eastAsia="仿宋"/>
          <w:kern w:val="0"/>
          <w:sz w:val="32"/>
          <w:szCs w:val="32"/>
          <w:lang w:eastAsia="zh-CN"/>
        </w:rPr>
        <w:t>上报申请文件、汇总表及企业申请报告。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（五）其他未尽事宜详见补充通知。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仿宋" w:hAnsi="仿宋" w:eastAsia="仿宋"/>
          <w:kern w:val="0"/>
          <w:sz w:val="32"/>
          <w:szCs w:val="32"/>
          <w:lang w:eastAsia="zh-CN"/>
        </w:rPr>
        <w:t>联系方式：牟立茁</w:t>
      </w:r>
      <w:r>
        <w:rPr>
          <w:rFonts w:hint="eastAsia" w:ascii="仿宋" w:hAnsi="仿宋" w:eastAsia="仿宋"/>
          <w:kern w:val="0"/>
          <w:sz w:val="32"/>
          <w:szCs w:val="32"/>
          <w:lang w:val="en-US" w:eastAsia="zh-CN"/>
        </w:rPr>
        <w:t xml:space="preserve">  0471-4824952</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eastAsia="zh-CN"/>
        </w:rPr>
        <w:t>附件：</w:t>
      </w:r>
      <w:r>
        <w:rPr>
          <w:rFonts w:hint="eastAsia" w:ascii="仿宋" w:hAnsi="仿宋" w:eastAsia="仿宋"/>
          <w:kern w:val="0"/>
          <w:sz w:val="32"/>
          <w:szCs w:val="32"/>
          <w:lang w:val="en-US" w:eastAsia="zh-CN"/>
        </w:rPr>
        <w:t>1.</w:t>
      </w:r>
      <w:r>
        <w:rPr>
          <w:rFonts w:hint="eastAsia" w:ascii="仿宋_GB2312" w:hAnsi="仿宋_GB2312" w:eastAsia="仿宋_GB2312" w:cs="仿宋_GB2312"/>
          <w:i w:val="0"/>
          <w:caps w:val="0"/>
          <w:color w:val="333333"/>
          <w:spacing w:val="0"/>
          <w:sz w:val="32"/>
          <w:szCs w:val="32"/>
        </w:rPr>
        <w:t>中小企业数字化转型试点细分行业列表</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left"/>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2.2023年</w:t>
      </w:r>
      <w:r>
        <w:rPr>
          <w:rFonts w:hint="eastAsia" w:ascii="仿宋_GB2312" w:hAnsi="仿宋_GB2312" w:eastAsia="仿宋_GB2312" w:cs="仿宋_GB2312"/>
          <w:i w:val="0"/>
          <w:caps w:val="0"/>
          <w:color w:val="333333"/>
          <w:spacing w:val="0"/>
          <w:sz w:val="32"/>
          <w:szCs w:val="32"/>
        </w:rPr>
        <w:t>XX市</w:t>
      </w:r>
      <w:r>
        <w:rPr>
          <w:rFonts w:hint="eastAsia" w:ascii="仿宋" w:hAnsi="仿宋" w:eastAsia="仿宋"/>
          <w:kern w:val="0"/>
          <w:sz w:val="32"/>
          <w:szCs w:val="32"/>
          <w:lang w:val="en-US" w:eastAsia="zh-CN"/>
        </w:rPr>
        <w:t>XX行业中小企业数字化转型试点申请报告</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i w:val="0"/>
          <w:caps w:val="0"/>
          <w:color w:val="333333"/>
          <w:spacing w:val="0"/>
          <w:sz w:val="32"/>
          <w:szCs w:val="32"/>
        </w:rPr>
      </w:pPr>
      <w:r>
        <w:rPr>
          <w:rFonts w:hint="eastAsia" w:ascii="仿宋" w:hAnsi="仿宋" w:eastAsia="仿宋"/>
          <w:kern w:val="0"/>
          <w:sz w:val="32"/>
          <w:szCs w:val="32"/>
          <w:lang w:val="en-US" w:eastAsia="zh-CN"/>
        </w:rPr>
        <w:t>3.</w:t>
      </w:r>
      <w:r>
        <w:rPr>
          <w:rFonts w:hint="eastAsia" w:ascii="仿宋_GB2312" w:hAnsi="仿宋_GB2312" w:eastAsia="仿宋_GB2312" w:cs="仿宋_GB2312"/>
          <w:i w:val="0"/>
          <w:caps w:val="0"/>
          <w:color w:val="333333"/>
          <w:spacing w:val="0"/>
          <w:sz w:val="32"/>
          <w:szCs w:val="32"/>
        </w:rPr>
        <w:t>2023年XX市XX行业试点企业数字化转型汇总表</w:t>
      </w:r>
    </w:p>
    <w:p>
      <w:pPr>
        <w:pStyle w:val="2"/>
        <w:numPr>
          <w:ilvl w:val="0"/>
          <w:numId w:val="0"/>
        </w:num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sz w:val="32"/>
          <w:szCs w:val="32"/>
          <w:lang w:val="en-US" w:eastAsia="zh-CN"/>
        </w:rPr>
        <w:t>2023年XX省XX行业数字化转型绩效评价目标表</w:t>
      </w:r>
    </w:p>
    <w:p>
      <w:pPr>
        <w:pStyle w:val="2"/>
        <w:rPr>
          <w:rFonts w:hint="default" w:eastAsia="仿宋_GB2312"/>
          <w:lang w:val="en-US" w:eastAsia="zh-CN"/>
        </w:rPr>
      </w:pPr>
    </w:p>
    <w:p>
      <w:pPr>
        <w:spacing w:line="600" w:lineRule="exact"/>
        <w:jc w:val="left"/>
        <w:rPr>
          <w:rFonts w:hint="eastAsia" w:ascii="黑体" w:hAnsi="黑体" w:eastAsia="黑体" w:cs="黑体"/>
          <w:sz w:val="32"/>
          <w:szCs w:val="32"/>
          <w:lang w:eastAsia="zh-CN"/>
        </w:rPr>
      </w:pPr>
    </w:p>
    <w:p>
      <w:pPr>
        <w:pStyle w:val="2"/>
        <w:rPr>
          <w:rFonts w:hint="eastAsia"/>
          <w:lang w:eastAsia="zh-CN"/>
        </w:rPr>
      </w:pPr>
    </w:p>
    <w:p>
      <w:pPr>
        <w:spacing w:line="600" w:lineRule="exact"/>
        <w:jc w:val="left"/>
        <w:rPr>
          <w:rFonts w:hint="eastAsia" w:ascii="黑体" w:hAnsi="黑体" w:eastAsia="黑体" w:cs="黑体"/>
          <w:sz w:val="32"/>
          <w:szCs w:val="32"/>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bookmarkStart w:id="1" w:name="_GoBack"/>
      <w:bookmarkEnd w:id="1"/>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600" w:lineRule="exac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tabs>
          <w:tab w:val="left" w:pos="5220"/>
        </w:tabs>
        <w:adjustRightInd/>
        <w:snapToGrid/>
        <w:spacing w:line="600" w:lineRule="exact"/>
        <w:jc w:val="center"/>
        <w:rPr>
          <w:rFonts w:hint="eastAsia" w:ascii="Times New Roman" w:hAnsi="Times New Roman" w:eastAsia="方正小标宋简体" w:cs="方正小标宋简体"/>
          <w:color w:val="000000"/>
          <w:sz w:val="36"/>
          <w:szCs w:val="36"/>
          <w:highlight w:val="none"/>
        </w:rPr>
      </w:pPr>
      <w:bookmarkStart w:id="0" w:name="toDeptId"/>
    </w:p>
    <w:p>
      <w:pPr>
        <w:tabs>
          <w:tab w:val="left" w:pos="5220"/>
        </w:tabs>
        <w:adjustRightInd/>
        <w:snapToGrid/>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中小企业数字化转型试点细分行业列表</w:t>
      </w:r>
    </w:p>
    <w:tbl>
      <w:tblPr>
        <w:tblStyle w:val="14"/>
        <w:tblW w:w="9425"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922"/>
        <w:gridCol w:w="6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序号</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行业类别</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细分行业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通用设备</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锅炉及原动设备制造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金属加工机械制造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物料搬运设备制造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泵、阀门、压缩机及类似机械制造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轴承、齿轮制造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传动部件制造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烘炉、风机、包装等设备制造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通用零部件制造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专用设备</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采矿、冶金、建筑专用设备制造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化工、木材、非金属加工专用设备制造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食品、饮料、烟草专用设备制造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饲料生产专用设备制造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印刷、制药、日化及日用品生产专用设备制造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纺织、服装和皮革加工专用设备制造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电子专用设备制造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电工机械专用设备制造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农、林、牧、渔专用机械制造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医疗仪器设备制造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医疗仪器器械制造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20</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汽车制造业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汽车车身制造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汽车挂车制造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汽车零部件制造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汽车配件制造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24</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铁路、船舶、航空航天和其他运输设备</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铁路运输设备制造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城市轨道交通设备制造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船舶及相关装置制造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航空、航天器及设备制造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28</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轻工纺织业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棉纺织及印染精加工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29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毛纺织及染整精加工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麻纺织及染整精加工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丝绢纺织及印染精加工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化纤织造及印染精加工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针织或钩针编织物及其制品制造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家用纺织制成品制造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产业用纺织制成品制造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纺织服装、服饰业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皮革、毛皮、羽毛及其制品和制鞋业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食品加工制造业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39</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木材加工和木制品业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木材加工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人造板制造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木质制品制造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42</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造纸和纸</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制品业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纸浆制造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造纸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纸制品制造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45</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石油、煤炭及其他燃料</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加工业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精炼石油产品制造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煤炭加工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核燃料加工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生物质燃料加工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49</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化学原料和化学制品制造业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基础化学原料制造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肥料制造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农药制造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涂料、油墨、颜料及类似产品制造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专用化学产品制造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日用化学产品制造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56</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医药制造业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化学药品原料药制造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化学药品制剂制造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药饮片加工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59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中成药生产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生物药品制品制造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卫生材料制造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医药用品制造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63</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化学纤维</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纤维素纤维原料及纤维制造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合成纤维制造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生物基材料制造</w:t>
            </w:r>
          </w:p>
        </w:tc>
      </w:tr>
      <w:tr>
        <w:tblPrEx>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66</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印刷和记录媒介复制业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装订及印刷相关服务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记录媒介复制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69</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非金属矿物</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制品业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水泥、石灰和石膏制造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石膏、水泥制品及类似制品制造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砖瓦、石材等建筑材料制造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玻璃制造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玻璃制品制造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玻璃纤维和玻璃纤维增强塑料制品制造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陶瓷制品制造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石墨制品制造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其他非金属矿物制品制造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78</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both"/>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黑色金属冶炼和压延加工业</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both"/>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钢压延加工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79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both"/>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both"/>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铁合金冶炼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80</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有色金属冶炼和压延加工业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有色金属合金制造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有色金属压延加工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82</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金属制品业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结构性金属制品制造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83</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金属工具制造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金属制日用品制造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85</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电气机械和器材制造业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输配电设备制造</w:t>
            </w:r>
          </w:p>
        </w:tc>
      </w:tr>
      <w:tr>
        <w:tblPrEx>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87</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控制设备制造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89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家用电力器具制造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照明器具制造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91</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非专业视听设备制造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92</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智能消费设备制造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93</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计算机、通信和其他电子设备制造业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电子器件制造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94</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电子元件制造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95</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96</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其他电子设备制造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97</w:t>
            </w:r>
          </w:p>
        </w:tc>
        <w:tc>
          <w:tcPr>
            <w:tcW w:w="192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eastAsia="zh-CN"/>
              </w:rPr>
            </w:pPr>
            <w:r>
              <w:rPr>
                <w:rFonts w:hint="default" w:ascii="Times New Roman" w:hAnsi="Times New Roman" w:eastAsia="仿宋_GB2312" w:cs="Times New Roman"/>
                <w:color w:val="000000"/>
                <w:sz w:val="28"/>
                <w:szCs w:val="28"/>
                <w:highlight w:val="none"/>
                <w:lang w:val="en" w:eastAsia="zh-CN"/>
              </w:rPr>
              <w:t>仪器仪表</w:t>
            </w:r>
          </w:p>
          <w:p>
            <w:pPr>
              <w:tabs>
                <w:tab w:val="left" w:pos="2646"/>
              </w:tabs>
              <w:adjustRightInd/>
              <w:snapToGrid/>
              <w:spacing w:line="600" w:lineRule="exact"/>
              <w:jc w:val="center"/>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制造业</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通用仪器仪表制造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98</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专用仪器仪表制造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99</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钟表与计时仪器制造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100</w:t>
            </w:r>
          </w:p>
        </w:tc>
        <w:tc>
          <w:tcPr>
            <w:tcW w:w="1922"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p>
        </w:tc>
        <w:tc>
          <w:tcPr>
            <w:tcW w:w="6513" w:type="dxa"/>
            <w:tcBorders>
              <w:top w:val="single" w:color="000000" w:sz="4" w:space="0"/>
              <w:left w:val="single" w:color="000000" w:sz="4" w:space="0"/>
              <w:bottom w:val="single" w:color="000000" w:sz="4" w:space="0"/>
              <w:right w:val="single" w:color="000000" w:sz="4" w:space="0"/>
            </w:tcBorders>
            <w:noWrap w:val="0"/>
            <w:vAlign w:val="top"/>
          </w:tcPr>
          <w:p>
            <w:pPr>
              <w:tabs>
                <w:tab w:val="left" w:pos="2646"/>
              </w:tabs>
              <w:adjustRightInd/>
              <w:snapToGrid/>
              <w:spacing w:line="600" w:lineRule="exact"/>
              <w:jc w:val="left"/>
              <w:rPr>
                <w:rFonts w:hint="default" w:ascii="Times New Roman" w:hAnsi="Times New Roman" w:eastAsia="仿宋_GB2312" w:cs="Times New Roman"/>
                <w:color w:val="000000"/>
                <w:sz w:val="28"/>
                <w:szCs w:val="28"/>
                <w:highlight w:val="none"/>
                <w:lang w:val="en"/>
              </w:rPr>
            </w:pPr>
            <w:r>
              <w:rPr>
                <w:rFonts w:hint="default" w:ascii="Times New Roman" w:hAnsi="Times New Roman" w:eastAsia="仿宋_GB2312" w:cs="Times New Roman"/>
                <w:color w:val="000000"/>
                <w:sz w:val="28"/>
                <w:szCs w:val="28"/>
                <w:highlight w:val="none"/>
                <w:lang w:val="en" w:eastAsia="zh-CN"/>
              </w:rPr>
              <w:t>光学仪器制造</w:t>
            </w:r>
          </w:p>
        </w:tc>
      </w:tr>
      <w:bookmarkEnd w:id="0"/>
    </w:tbl>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rPr>
      </w:pPr>
    </w:p>
    <w:p>
      <w:pPr>
        <w:pStyle w:val="2"/>
        <w:rPr>
          <w:rFonts w:hint="eastAsia" w:ascii="Times New Roman" w:hAnsi="方正小标宋简体" w:eastAsia="方正小标宋简体"/>
          <w:color w:val="000000"/>
          <w:sz w:val="44"/>
          <w:szCs w:val="44"/>
          <w:shd w:val="clear" w:color="auto" w:fill="FFFFFF"/>
        </w:rPr>
      </w:pPr>
    </w:p>
    <w:p>
      <w:pPr>
        <w:pStyle w:val="2"/>
        <w:rPr>
          <w:rFonts w:hint="eastAsia" w:ascii="Times New Roman" w:hAnsi="方正小标宋简体" w:eastAsia="方正小标宋简体"/>
          <w:color w:val="000000"/>
          <w:sz w:val="44"/>
          <w:szCs w:val="44"/>
          <w:shd w:val="clear" w:color="auto" w:fill="FFFFFF"/>
        </w:rPr>
      </w:pPr>
    </w:p>
    <w:p>
      <w:pPr>
        <w:pStyle w:val="2"/>
        <w:rPr>
          <w:rFonts w:hint="eastAsia" w:ascii="Times New Roman" w:hAnsi="方正小标宋简体" w:eastAsia="方正小标宋简体"/>
          <w:color w:val="000000"/>
          <w:sz w:val="44"/>
          <w:szCs w:val="44"/>
          <w:shd w:val="clear" w:color="auto" w:fill="FFFFFF"/>
        </w:rPr>
      </w:pPr>
    </w:p>
    <w:p>
      <w:pPr>
        <w:pStyle w:val="2"/>
        <w:rPr>
          <w:rFonts w:hint="eastAsia" w:ascii="Times New Roman" w:hAnsi="方正小标宋简体" w:eastAsia="方正小标宋简体"/>
          <w:color w:val="000000"/>
          <w:sz w:val="44"/>
          <w:szCs w:val="44"/>
          <w:shd w:val="clear" w:color="auto" w:fill="FFFFFF"/>
        </w:rPr>
      </w:pPr>
    </w:p>
    <w:p>
      <w:pPr>
        <w:spacing w:line="600" w:lineRule="exac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w:t>
      </w:r>
    </w:p>
    <w:p>
      <w:pPr>
        <w:spacing w:line="600" w:lineRule="exact"/>
        <w:jc w:val="left"/>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lang w:val="en-US" w:eastAsia="zh-CN"/>
        </w:rPr>
      </w:pPr>
      <w:r>
        <w:rPr>
          <w:rFonts w:hint="eastAsia" w:ascii="Times New Roman" w:hAnsi="方正小标宋简体" w:eastAsia="方正小标宋简体"/>
          <w:color w:val="000000"/>
          <w:sz w:val="44"/>
          <w:szCs w:val="44"/>
          <w:shd w:val="clear" w:color="auto" w:fill="FFFFFF"/>
          <w:lang w:val="en-US" w:eastAsia="zh-CN"/>
        </w:rPr>
        <w:t>XX市XX行业中小企业</w:t>
      </w:r>
    </w:p>
    <w:p>
      <w:pPr>
        <w:spacing w:line="600" w:lineRule="exact"/>
        <w:jc w:val="center"/>
        <w:rPr>
          <w:rFonts w:hint="eastAsia" w:ascii="Times New Roman" w:hAnsi="Times New Roman" w:eastAsia="方正小标宋简体"/>
          <w:color w:val="000000"/>
          <w:sz w:val="44"/>
          <w:szCs w:val="44"/>
          <w:lang w:eastAsia="zh-CN"/>
        </w:rPr>
      </w:pPr>
      <w:r>
        <w:rPr>
          <w:rFonts w:hint="eastAsia" w:ascii="Times New Roman" w:hAnsi="方正小标宋简体" w:eastAsia="方正小标宋简体"/>
          <w:color w:val="000000"/>
          <w:sz w:val="44"/>
          <w:szCs w:val="44"/>
          <w:shd w:val="clear" w:color="auto" w:fill="FFFFFF"/>
          <w:lang w:val="en-US" w:eastAsia="zh-CN"/>
        </w:rPr>
        <w:t>数字化转型试点</w:t>
      </w:r>
      <w:r>
        <w:rPr>
          <w:rFonts w:hint="eastAsia" w:ascii="Times New Roman" w:hAnsi="方正小标宋简体" w:eastAsia="方正小标宋简体"/>
          <w:color w:val="000000"/>
          <w:sz w:val="44"/>
          <w:szCs w:val="44"/>
          <w:shd w:val="clear" w:color="auto" w:fill="FFFFFF"/>
        </w:rPr>
        <w:t>申请</w:t>
      </w:r>
      <w:r>
        <w:rPr>
          <w:rFonts w:hint="eastAsia" w:ascii="Times New Roman" w:hAnsi="方正小标宋简体" w:eastAsia="方正小标宋简体"/>
          <w:color w:val="000000"/>
          <w:sz w:val="44"/>
          <w:szCs w:val="44"/>
          <w:shd w:val="clear" w:color="auto" w:fill="FFFFFF"/>
          <w:lang w:eastAsia="zh-CN"/>
        </w:rPr>
        <w:t>报告</w:t>
      </w: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700" w:lineRule="exact"/>
        <w:rPr>
          <w:rFonts w:hint="eastAsia" w:ascii="黑体" w:hAnsi="黑体" w:eastAsia="黑体" w:cs="黑体"/>
          <w:color w:val="000000"/>
          <w:sz w:val="28"/>
        </w:rPr>
      </w:pPr>
      <w:r>
        <mc:AlternateContent>
          <mc:Choice Requires="wps">
            <w:drawing>
              <wp:anchor distT="0" distB="0" distL="114300" distR="114300" simplePos="0" relativeHeight="251703296" behindDoc="0" locked="0" layoutInCell="1" allowOverlap="1">
                <wp:simplePos x="0" y="0"/>
                <wp:positionH relativeFrom="column">
                  <wp:posOffset>1718310</wp:posOffset>
                </wp:positionH>
                <wp:positionV relativeFrom="paragraph">
                  <wp:posOffset>405130</wp:posOffset>
                </wp:positionV>
                <wp:extent cx="2625090" cy="381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625090"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5.3pt;margin-top:31.9pt;height:0.3pt;width:206.7pt;z-index:251703296;mso-width-relative:page;mso-height-relative:page;" filled="f" stroked="t" coordsize="21600,21600" o:gfxdata="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bDwAHXAAAACQEAAA8AAAAAAAAAAQAgAAAAIgAAAGRy&#10;cy9kb3ducmV2LnhtbFBLAQIUABQAAAAIAIdO4kAhfC5fzQEAAF8DAAAOAAAAAAAAAAEAIAAAACYB&#10;AABkcnMvZTJvRG9jLnhtbFBLBQYAAAAABgAGAFkBAABlBQAAAAA=&#10;">
                <v:fill on="f" focussize="0,0"/>
                <v:stroke color="#000000" joinstyle="round"/>
                <v:imagedata o:title=""/>
                <o:lock v:ext="edit" aspectratio="f"/>
              </v:line>
            </w:pict>
          </mc:Fallback>
        </mc:AlternateContent>
      </w:r>
      <w:r>
        <w:rPr>
          <w:rFonts w:ascii="Times New Roman" w:hAnsi="Times New Roman" w:eastAsia="楷体_GB2312"/>
          <w:color w:val="000000"/>
          <w:sz w:val="28"/>
        </w:rPr>
        <w:t xml:space="preserve">      </w:t>
      </w:r>
      <w:r>
        <w:rPr>
          <w:rFonts w:hint="eastAsia" w:ascii="黑体" w:hAnsi="黑体" w:eastAsia="黑体" w:cs="黑体"/>
          <w:color w:val="000000"/>
          <w:sz w:val="28"/>
        </w:rPr>
        <w:t>申请企业</w:t>
      </w:r>
      <w:r>
        <w:rPr>
          <w:rFonts w:hint="eastAsia" w:ascii="黑体" w:hAnsi="黑体" w:eastAsia="黑体" w:cs="黑体"/>
          <w:color w:val="000000"/>
          <w:sz w:val="28"/>
          <w:lang w:eastAsia="zh-CN"/>
        </w:rPr>
        <w:t>名称：</w:t>
      </w:r>
      <w:r>
        <w:rPr>
          <w:rFonts w:hint="eastAsia" w:ascii="黑体" w:hAnsi="黑体" w:eastAsia="黑体" w:cs="黑体"/>
          <w:color w:val="000000"/>
          <w:sz w:val="28"/>
        </w:rPr>
        <w:t xml:space="preserve">                           </w:t>
      </w:r>
      <w:r>
        <w:rPr>
          <w:rFonts w:hint="eastAsia" w:ascii="黑体" w:hAnsi="黑体" w:eastAsia="黑体" w:cs="黑体"/>
          <w:color w:val="000000"/>
          <w:sz w:val="28"/>
          <w:lang w:val="en-US" w:eastAsia="zh-CN"/>
        </w:rPr>
        <w:t xml:space="preserve">     </w:t>
      </w:r>
      <w:r>
        <w:rPr>
          <w:rFonts w:hint="eastAsia" w:ascii="黑体" w:hAnsi="黑体" w:eastAsia="黑体" w:cs="黑体"/>
          <w:color w:val="000000"/>
          <w:sz w:val="24"/>
        </w:rPr>
        <w:t>（盖章）</w:t>
      </w:r>
    </w:p>
    <w:p>
      <w:pPr>
        <w:spacing w:line="700" w:lineRule="exact"/>
        <w:ind w:firstLine="420"/>
        <w:rPr>
          <w:rFonts w:hint="eastAsia" w:ascii="黑体" w:hAnsi="黑体" w:eastAsia="黑体" w:cs="黑体"/>
          <w:color w:val="000000"/>
          <w:sz w:val="28"/>
          <w:lang w:eastAsia="zh-CN"/>
        </w:rPr>
      </w:pPr>
      <w:r>
        <w:rPr>
          <w:rFonts w:hint="eastAsia" w:ascii="黑体" w:hAnsi="黑体" w:eastAsia="黑体" w:cs="黑体"/>
          <w:color w:val="000000"/>
          <w:sz w:val="28"/>
        </w:rPr>
        <w:t xml:space="preserve">   法定代表人</w:t>
      </w:r>
      <w:r>
        <w:rPr>
          <w:rFonts w:hint="eastAsia" w:ascii="黑体" w:hAnsi="黑体" w:eastAsia="黑体" w:cs="黑体"/>
          <w:color w:val="000000"/>
          <w:sz w:val="28"/>
          <w:lang w:eastAsia="zh-CN"/>
        </w:rPr>
        <w:t>：</w:t>
      </w:r>
    </w:p>
    <w:p>
      <w:pPr>
        <w:spacing w:line="700" w:lineRule="exact"/>
        <w:ind w:firstLine="420"/>
        <w:rPr>
          <w:rFonts w:hint="eastAsia" w:ascii="黑体" w:hAnsi="黑体" w:eastAsia="黑体" w:cs="黑体"/>
          <w:color w:val="000000"/>
          <w:sz w:val="28"/>
          <w:lang w:eastAsia="zh-CN"/>
        </w:rPr>
      </w:pPr>
      <w:r>
        <w:rPr>
          <w:rFonts w:hint="eastAsia" w:ascii="黑体" w:hAnsi="黑体" w:eastAsia="黑体" w:cs="黑体"/>
        </w:rPr>
        <mc:AlternateContent>
          <mc:Choice Requires="wps">
            <w:drawing>
              <wp:anchor distT="0" distB="0" distL="114300" distR="114300" simplePos="0" relativeHeight="251704320"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704320;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V6BLPTAAAABQEAAA8AAAAAAAAAAQAgAAAAIgAAAGRycy9kb3ducmV2&#10;LnhtbFBLAQIUABQAAAAIAIdO4kD2RVf5yAEAAFwDAAAOAAAAAAAAAAEAIAAAACIBAABkcnMvZTJv&#10;RG9jLnhtbFBLBQYAAAAABgAGAFkBAABcBQAAAAA=&#10;">
                <v:fill on="f" focussize="0,0"/>
                <v:stroke color="#000000" joinstyle="round"/>
                <v:imagedata o:title=""/>
                <o:lock v:ext="edit" aspectratio="f"/>
              </v:line>
            </w:pict>
          </mc:Fallback>
        </mc:AlternateContent>
      </w:r>
      <w:r>
        <w:rPr>
          <w:rFonts w:hint="eastAsia" w:ascii="黑体" w:hAnsi="黑体" w:eastAsia="黑体" w:cs="黑体"/>
          <w:color w:val="000000"/>
          <w:sz w:val="28"/>
        </w:rPr>
        <w:t xml:space="preserve">   联 系 人</w:t>
      </w:r>
      <w:r>
        <w:rPr>
          <w:rFonts w:hint="eastAsia" w:ascii="黑体" w:hAnsi="黑体" w:eastAsia="黑体" w:cs="黑体"/>
          <w:color w:val="000000"/>
          <w:sz w:val="28"/>
          <w:lang w:eastAsia="zh-CN"/>
        </w:rPr>
        <w:t>：</w:t>
      </w:r>
    </w:p>
    <w:p>
      <w:pPr>
        <w:spacing w:line="700" w:lineRule="exact"/>
        <w:ind w:firstLine="840" w:firstLineChars="400"/>
        <w:rPr>
          <w:rFonts w:hint="eastAsia" w:ascii="黑体" w:hAnsi="黑体" w:eastAsia="黑体" w:cs="黑体"/>
          <w:color w:val="000000"/>
          <w:sz w:val="28"/>
        </w:rPr>
      </w:pPr>
      <w:r>
        <w:rPr>
          <w:rFonts w:hint="eastAsia" w:ascii="黑体" w:hAnsi="黑体" w:eastAsia="黑体" w:cs="黑体"/>
        </w:rPr>
        <mc:AlternateContent>
          <mc:Choice Requires="wps">
            <w:drawing>
              <wp:anchor distT="0" distB="0" distL="114300" distR="114300" simplePos="0" relativeHeight="251706368" behindDoc="0" locked="0" layoutInCell="0" allowOverlap="1">
                <wp:simplePos x="0" y="0"/>
                <wp:positionH relativeFrom="column">
                  <wp:posOffset>1485900</wp:posOffset>
                </wp:positionH>
                <wp:positionV relativeFrom="paragraph">
                  <wp:posOffset>363220</wp:posOffset>
                </wp:positionV>
                <wp:extent cx="28575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8.6pt;height:0pt;width:225pt;z-index:251706368;mso-width-relative:page;mso-height-relative:page;" filled="f" stroked="t" coordsize="21600,21600" o:allowincell="f" o:gfxdata="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HUzR1gAAAAkBAAAPAAAAAAAAAAEAIAAAACIAAABkcnMvZG93&#10;bnJldi54bWxQSwECFAAUAAAACACHTuJA3B7vB8kBAABeAwAADgAAAAAAAAABACAAAAAlAQAAZHJz&#10;L2Uyb0RvYy54bWxQSwUGAAAAAAYABgBZAQAAYAU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701248"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17pt;margin-top:0pt;height:0pt;width:225pt;z-index:251701248;mso-width-relative:page;mso-height-relative:page;" filled="f" stroked="t" coordsize="21600,21600" o:allowincell="f" o:gfxdata="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I9Cx7SAAAABQEAAA8AAAAAAAAAAQAgAAAAIgAAAGRycy9kb3ducmV2&#10;LnhtbFBLAQIUABQAAAAIAIdO4kDZErTayQEAAF4DAAAOAAAAAAAAAAEAIAAAACEBAABkcnMvZTJv&#10;RG9jLnhtbFBLBQYAAAAABgAGAFkBAABcBQAAAAA=&#10;">
                <v:fill on="f" focussize="0,0"/>
                <v:stroke weight="0.5pt" color="#000000" joinstyle="round"/>
                <v:imagedata o:title=""/>
                <o:lock v:ext="edit" aspectratio="f"/>
              </v:line>
            </w:pict>
          </mc:Fallback>
        </mc:AlternateContent>
      </w:r>
      <w:r>
        <w:rPr>
          <w:rFonts w:hint="eastAsia" w:ascii="黑体" w:hAnsi="黑体" w:eastAsia="黑体" w:cs="黑体"/>
          <w:color w:val="000000"/>
          <w:sz w:val="28"/>
        </w:rPr>
        <w:t>联系电话</w:t>
      </w:r>
      <w:r>
        <w:rPr>
          <w:rFonts w:hint="eastAsia" w:ascii="黑体" w:hAnsi="黑体" w:eastAsia="黑体" w:cs="黑体"/>
        </w:rPr>
        <mc:AlternateContent>
          <mc:Choice Requires="wps">
            <w:drawing>
              <wp:anchor distT="0" distB="0" distL="114300" distR="114300" simplePos="0" relativeHeight="251702272"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702272;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egSz0wAAAAUBAAAPAAAAAAAAAAEAIAAAACIAAABkcnMvZG93bnJl&#10;di54bWxQSwECFAAUAAAACACHTuJAuLRjsskBAABeAwAADgAAAAAAAAABACAAAAAiAQAAZHJzL2Uy&#10;b0RvYy54bWxQSwUGAAAAAAYABgBZAQAAXQU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705344"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705344;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egSz0wAAAAUBAAAPAAAAAAAAAAEAIAAAACIAAABkcnMvZG93bnJl&#10;di54bWxQSwECFAAUAAAACACHTuJAiuGl6MkBAABeAwAADgAAAAAAAAABACAAAAAiAQAAZHJzL2Uy&#10;b0RvYy54bWxQSwUGAAAAAAYABgBZAQAAXQUAAAAA&#10;">
                <v:fill on="f" focussize="0,0"/>
                <v:stroke color="#000000" joinstyle="round"/>
                <v:imagedata o:title=""/>
                <o:lock v:ext="edit" aspectratio="f"/>
              </v:line>
            </w:pict>
          </mc:Fallback>
        </mc:AlternateContent>
      </w:r>
      <w:r>
        <w:rPr>
          <w:rFonts w:hint="eastAsia" w:ascii="黑体" w:hAnsi="黑体" w:eastAsia="黑体" w:cs="黑体"/>
          <w:color w:val="000000"/>
          <w:sz w:val="28"/>
          <w:lang w:eastAsia="zh-CN"/>
        </w:rPr>
        <w:t>：</w:t>
      </w:r>
    </w:p>
    <w:p>
      <w:pPr>
        <w:spacing w:line="700" w:lineRule="exact"/>
        <w:ind w:firstLine="420"/>
        <w:rPr>
          <w:rFonts w:hint="default" w:ascii="黑体" w:hAnsi="黑体" w:eastAsia="黑体" w:cs="黑体"/>
          <w:color w:val="000000"/>
          <w:sz w:val="24"/>
          <w:lang w:val="en-US" w:eastAsia="zh-CN"/>
        </w:rPr>
      </w:pPr>
      <w:r>
        <w:rPr>
          <w:rFonts w:hint="eastAsia" w:ascii="黑体" w:hAnsi="黑体" w:eastAsia="黑体" w:cs="黑体"/>
          <w:color w:val="000000"/>
          <w:sz w:val="28"/>
        </w:rPr>
        <w:t xml:space="preserve">   </w:t>
      </w:r>
      <w:r>
        <w:rPr>
          <w:rFonts w:hint="eastAsia" w:ascii="黑体" w:hAnsi="黑体" w:eastAsia="黑体" w:cs="黑体"/>
          <w:color w:val="000000"/>
          <w:sz w:val="28"/>
          <w:lang w:eastAsia="zh-CN"/>
        </w:rPr>
        <w:t>推荐单位：</w:t>
      </w:r>
      <w:r>
        <w:rPr>
          <w:rFonts w:hint="eastAsia" w:ascii="黑体" w:hAnsi="黑体" w:eastAsia="黑体" w:cs="黑体"/>
          <w:color w:val="000000"/>
          <w:sz w:val="28"/>
          <w:u w:val="single"/>
          <w:lang w:val="en-US" w:eastAsia="zh-CN"/>
        </w:rPr>
        <w:t xml:space="preserve">                                 </w:t>
      </w:r>
      <w:r>
        <w:rPr>
          <w:rFonts w:hint="eastAsia" w:ascii="黑体" w:hAnsi="黑体" w:eastAsia="黑体" w:cs="黑体"/>
          <w:color w:val="000000"/>
          <w:sz w:val="28"/>
          <w:u w:val="none"/>
          <w:lang w:val="en-US" w:eastAsia="zh-CN"/>
        </w:rPr>
        <w:t xml:space="preserve">    </w:t>
      </w:r>
      <w:r>
        <w:rPr>
          <w:rFonts w:hint="eastAsia" w:ascii="黑体" w:hAnsi="黑体" w:eastAsia="黑体" w:cs="黑体"/>
          <w:color w:val="000000"/>
          <w:sz w:val="24"/>
          <w:lang w:val="en-US" w:eastAsia="zh-CN"/>
        </w:rPr>
        <w:t>(盖章）</w:t>
      </w:r>
    </w:p>
    <w:p>
      <w:pPr>
        <w:spacing w:line="700" w:lineRule="exact"/>
        <w:ind w:firstLine="420"/>
        <w:rPr>
          <w:rFonts w:hint="eastAsia" w:ascii="黑体" w:hAnsi="黑体" w:eastAsia="黑体" w:cs="黑体"/>
          <w:color w:val="000000"/>
          <w:sz w:val="28"/>
        </w:rPr>
      </w:pPr>
    </w:p>
    <w:p>
      <w:pPr>
        <w:spacing w:line="700" w:lineRule="exact"/>
        <w:ind w:firstLine="980" w:firstLineChars="350"/>
        <w:rPr>
          <w:rFonts w:hint="eastAsia" w:ascii="黑体" w:hAnsi="黑体" w:eastAsia="黑体" w:cs="黑体"/>
          <w:color w:val="000000"/>
          <w:sz w:val="28"/>
        </w:rPr>
      </w:pPr>
      <w:r>
        <w:rPr>
          <w:rFonts w:hint="eastAsia" w:ascii="黑体" w:hAnsi="黑体" w:eastAsia="黑体" w:cs="黑体"/>
          <w:color w:val="000000"/>
          <w:sz w:val="28"/>
        </w:rPr>
        <w:t xml:space="preserve">申请日期           年      月      日             </w:t>
      </w:r>
    </w:p>
    <w:p>
      <w:pPr>
        <w:widowControl/>
        <w:spacing w:line="600" w:lineRule="exact"/>
        <w:jc w:val="both"/>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widowControl/>
        <w:spacing w:line="600" w:lineRule="exact"/>
        <w:ind w:firstLine="880" w:firstLineChars="200"/>
        <w:jc w:val="center"/>
        <w:rPr>
          <w:rFonts w:ascii="方正小标宋简体" w:hAnsi="仿宋" w:eastAsia="方正小标宋简体"/>
          <w:color w:val="000000"/>
          <w:kern w:val="0"/>
          <w:sz w:val="44"/>
          <w:szCs w:val="44"/>
        </w:rPr>
      </w:pPr>
      <w:r>
        <w:rPr>
          <w:rFonts w:hint="eastAsia" w:ascii="方正小标宋简体" w:hAnsi="仿宋" w:eastAsia="方正小标宋简体" w:cs="方正小标宋简体"/>
          <w:color w:val="000000"/>
          <w:kern w:val="0"/>
          <w:sz w:val="44"/>
          <w:szCs w:val="44"/>
        </w:rPr>
        <w:t>承 诺 书</w:t>
      </w:r>
    </w:p>
    <w:p>
      <w:pPr>
        <w:widowControl/>
        <w:spacing w:line="600" w:lineRule="exact"/>
        <w:ind w:firstLine="643" w:firstLineChars="200"/>
        <w:jc w:val="center"/>
        <w:rPr>
          <w:rFonts w:ascii="仿宋" w:hAnsi="仿宋" w:eastAsia="仿宋"/>
          <w:b/>
          <w:bCs/>
          <w:color w:val="000000"/>
          <w:kern w:val="0"/>
          <w:sz w:val="32"/>
          <w:szCs w:val="32"/>
        </w:rPr>
      </w:pPr>
    </w:p>
    <w:p>
      <w:pPr>
        <w:widowControl/>
        <w:spacing w:line="60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本企业承诺：</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中所填写的内容真实、合法、有效。</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.提供的申报资料和文件内容真实、可靠、事实存在。</w:t>
      </w:r>
    </w:p>
    <w:p>
      <w:pPr>
        <w:widowControl/>
        <w:spacing w:line="600" w:lineRule="exact"/>
        <w:ind w:firstLine="640" w:firstLineChars="200"/>
        <w:rPr>
          <w:rFonts w:hint="eastAsia" w:ascii="仿宋" w:hAnsi="仿宋" w:eastAsia="仿宋" w:cs="仿宋_GB2312"/>
          <w:color w:val="000000"/>
          <w:kern w:val="0"/>
          <w:sz w:val="32"/>
          <w:szCs w:val="32"/>
        </w:rPr>
      </w:pP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中所涉本单位的知识产权、商业秘密明晰完整，归属本单位或技术来源正当合法，未剽窃他人成果，未侵犯他人的知识产权或商业秘密。</w:t>
      </w:r>
    </w:p>
    <w:p>
      <w:pPr>
        <w:pStyle w:val="7"/>
        <w:ind w:left="0" w:leftChars="0" w:firstLine="640" w:firstLineChars="200"/>
        <w:rPr>
          <w:rFonts w:hint="eastAsia" w:eastAsia="仿宋"/>
          <w:lang w:val="en-US" w:eastAsia="zh-CN"/>
        </w:rPr>
      </w:pPr>
      <w:r>
        <w:rPr>
          <w:rFonts w:hint="eastAsia" w:ascii="仿宋" w:hAnsi="仿宋" w:eastAsia="仿宋" w:cs="仿宋_GB2312"/>
          <w:color w:val="000000"/>
          <w:kern w:val="0"/>
          <w:sz w:val="32"/>
          <w:szCs w:val="32"/>
          <w:lang w:val="en-US" w:eastAsia="zh-CN"/>
        </w:rPr>
        <w:t>4.</w:t>
      </w:r>
      <w:r>
        <w:rPr>
          <w:rFonts w:hint="eastAsia" w:ascii="仿宋_GB2312" w:hAnsi="仿宋_GB2312" w:eastAsia="仿宋_GB2312" w:cs="仿宋_GB2312"/>
          <w:sz w:val="30"/>
          <w:szCs w:val="30"/>
          <w:lang w:eastAsia="zh-CN"/>
        </w:rPr>
        <w:t>近三年未发生较大安全（含网络安全、数据安全）、质量、环境污染等事故及偷税等违法违规行为</w:t>
      </w:r>
      <w:r>
        <w:rPr>
          <w:rFonts w:hint="eastAsia" w:eastAsia="仿宋"/>
          <w:lang w:val="en-US" w:eastAsia="zh-CN"/>
        </w:rPr>
        <w:t>。</w:t>
      </w:r>
    </w:p>
    <w:p>
      <w:pPr>
        <w:pStyle w:val="7"/>
        <w:ind w:left="0" w:leftChars="0" w:firstLine="640" w:firstLineChars="200"/>
        <w:rPr>
          <w:rFonts w:hint="default" w:eastAsia="仿宋"/>
          <w:lang w:val="en-US" w:eastAsia="zh-CN"/>
        </w:rPr>
      </w:pPr>
      <w:r>
        <w:rPr>
          <w:rFonts w:hint="eastAsia" w:ascii="仿宋" w:hAnsi="仿宋" w:eastAsia="仿宋" w:cs="仿宋_GB2312"/>
          <w:color w:val="000000"/>
          <w:kern w:val="0"/>
          <w:sz w:val="32"/>
          <w:szCs w:val="32"/>
          <w:lang w:val="en-US" w:eastAsia="zh-CN"/>
        </w:rPr>
        <w:t>5.积极配合相关绩效评价。</w:t>
      </w:r>
    </w:p>
    <w:p>
      <w:pPr>
        <w:pStyle w:val="7"/>
        <w:ind w:left="0" w:leftChars="0"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若发生与上述承诺相违背的事实，由本单位承担法律责任。</w:t>
      </w:r>
    </w:p>
    <w:p>
      <w:pPr>
        <w:widowControl/>
        <w:spacing w:line="600" w:lineRule="exact"/>
        <w:ind w:firstLine="640" w:firstLineChars="200"/>
        <w:rPr>
          <w:rFonts w:ascii="仿宋" w:hAnsi="仿宋" w:eastAsia="仿宋"/>
          <w:color w:val="000000"/>
          <w:kern w:val="0"/>
          <w:sz w:val="32"/>
          <w:szCs w:val="32"/>
        </w:rPr>
      </w:pPr>
    </w:p>
    <w:p>
      <w:pPr>
        <w:widowControl/>
        <w:spacing w:line="600" w:lineRule="exact"/>
        <w:rPr>
          <w:rFonts w:ascii="仿宋" w:hAnsi="仿宋" w:eastAsia="仿宋"/>
          <w:color w:val="000000"/>
          <w:kern w:val="0"/>
          <w:sz w:val="32"/>
          <w:szCs w:val="32"/>
        </w:rPr>
      </w:pPr>
    </w:p>
    <w:p>
      <w:pPr>
        <w:widowControl/>
        <w:spacing w:line="600" w:lineRule="exact"/>
        <w:ind w:firstLine="2560" w:firstLineChars="800"/>
        <w:jc w:val="left"/>
        <w:rPr>
          <w:rFonts w:ascii="仿宋" w:hAnsi="仿宋" w:eastAsia="仿宋"/>
          <w:color w:val="000000"/>
          <w:kern w:val="0"/>
          <w:sz w:val="32"/>
          <w:szCs w:val="32"/>
        </w:rPr>
      </w:pPr>
      <w:r>
        <w:rPr>
          <w:rFonts w:hint="eastAsia" w:ascii="仿宋" w:hAnsi="仿宋" w:eastAsia="仿宋" w:cs="仿宋_GB2312"/>
          <w:color w:val="000000"/>
          <w:kern w:val="0"/>
          <w:sz w:val="32"/>
          <w:szCs w:val="32"/>
        </w:rPr>
        <w:t>法定代表人（签字）：</w:t>
      </w:r>
    </w:p>
    <w:p>
      <w:pPr>
        <w:widowControl/>
        <w:spacing w:line="600" w:lineRule="exact"/>
        <w:ind w:firstLine="2560" w:firstLineChars="800"/>
        <w:rPr>
          <w:rFonts w:ascii="仿宋" w:hAnsi="仿宋" w:eastAsia="仿宋"/>
          <w:color w:val="000000"/>
          <w:kern w:val="0"/>
          <w:sz w:val="32"/>
          <w:szCs w:val="32"/>
        </w:rPr>
      </w:pPr>
      <w:r>
        <w:rPr>
          <w:rFonts w:hint="eastAsia" w:ascii="仿宋" w:hAnsi="仿宋" w:eastAsia="仿宋" w:cs="仿宋_GB2312"/>
          <w:color w:val="000000"/>
          <w:kern w:val="0"/>
          <w:sz w:val="32"/>
          <w:szCs w:val="32"/>
        </w:rPr>
        <w:t>单位（盖章）：</w:t>
      </w:r>
    </w:p>
    <w:p>
      <w:pPr>
        <w:widowControl/>
        <w:spacing w:line="600" w:lineRule="exact"/>
        <w:ind w:firstLine="640" w:firstLineChars="200"/>
        <w:jc w:val="center"/>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p>
    <w:p>
      <w:pPr>
        <w:widowControl/>
        <w:spacing w:line="600" w:lineRule="exact"/>
        <w:ind w:firstLine="640" w:firstLineChars="200"/>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年</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日</w:t>
      </w:r>
      <w:r>
        <w:rPr>
          <w:rFonts w:ascii="仿宋" w:hAnsi="仿宋" w:eastAsia="仿宋" w:cs="仿宋_GB2312"/>
          <w:color w:val="000000"/>
          <w:kern w:val="0"/>
          <w:sz w:val="32"/>
          <w:szCs w:val="32"/>
        </w:rPr>
        <w:t xml:space="preserve"> </w:t>
      </w:r>
    </w:p>
    <w:p>
      <w:pPr>
        <w:pStyle w:val="7"/>
      </w:pPr>
    </w:p>
    <w:p>
      <w:pPr>
        <w:widowControl/>
        <w:spacing w:line="600" w:lineRule="exact"/>
        <w:jc w:val="both"/>
        <w:rPr>
          <w:rFonts w:ascii="仿宋" w:hAnsi="仿宋" w:eastAsia="仿宋" w:cs="仿宋_GB2312"/>
          <w:color w:val="000000"/>
          <w:kern w:val="0"/>
          <w:sz w:val="32"/>
          <w:szCs w:val="32"/>
        </w:rPr>
      </w:pPr>
    </w:p>
    <w:p>
      <w:pPr>
        <w:spacing w:line="600" w:lineRule="exact"/>
        <w:jc w:val="center"/>
        <w:rPr>
          <w:rFonts w:hint="eastAsia" w:ascii="黑体" w:hAnsi="黑体" w:eastAsia="黑体" w:cs="黑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企业数字化转型试点实施方案（提纲）</w:t>
      </w:r>
    </w:p>
    <w:p>
      <w:pPr>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一、平台主要服务功能介绍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二、服务中小企业数字化转型的总体情况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caps w:val="0"/>
          <w:color w:val="333333"/>
          <w:spacing w:val="0"/>
          <w:sz w:val="32"/>
          <w:szCs w:val="32"/>
          <w:lang w:eastAsia="zh-CN"/>
        </w:rPr>
        <w:t>为某一</w:t>
      </w:r>
      <w:r>
        <w:rPr>
          <w:rFonts w:hint="eastAsia" w:ascii="仿宋_GB2312" w:hAnsi="仿宋_GB2312" w:eastAsia="仿宋_GB2312" w:cs="仿宋_GB2312"/>
          <w:i w:val="0"/>
          <w:caps w:val="0"/>
          <w:color w:val="333333"/>
          <w:spacing w:val="0"/>
          <w:sz w:val="32"/>
          <w:szCs w:val="32"/>
        </w:rPr>
        <w:t>细分领域提供转型咨询、诊断评估、设备改造、软件应用等一揽子数字化转型服务</w:t>
      </w:r>
      <w:r>
        <w:rPr>
          <w:rFonts w:hint="eastAsia" w:ascii="仿宋_GB2312" w:hAnsi="仿宋_GB2312" w:eastAsia="仿宋_GB2312" w:cs="仿宋_GB2312"/>
          <w:i w:val="0"/>
          <w:caps w:val="0"/>
          <w:color w:val="333333"/>
          <w:spacing w:val="0"/>
          <w:sz w:val="32"/>
          <w:szCs w:val="32"/>
          <w:lang w:eastAsia="zh-CN"/>
        </w:rPr>
        <w:t>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2.平台的</w:t>
      </w:r>
      <w:r>
        <w:rPr>
          <w:rFonts w:hint="eastAsia" w:ascii="仿宋_GB2312" w:hAnsi="仿宋_GB2312" w:eastAsia="仿宋_GB2312" w:cs="仿宋_GB2312"/>
          <w:color w:val="222222"/>
          <w:spacing w:val="4"/>
          <w:kern w:val="0"/>
          <w:sz w:val="32"/>
          <w:szCs w:val="32"/>
          <w:shd w:val="clear" w:color="auto" w:fill="FFFFFF"/>
        </w:rPr>
        <w:t>行业知识积累、技术开发能力、行业服务生态</w:t>
      </w:r>
      <w:r>
        <w:rPr>
          <w:rFonts w:hint="eastAsia" w:ascii="仿宋_GB2312" w:hAnsi="仿宋_GB2312" w:eastAsia="仿宋_GB2312" w:cs="仿宋_GB2312"/>
          <w:color w:val="222222"/>
          <w:spacing w:val="4"/>
          <w:kern w:val="0"/>
          <w:sz w:val="32"/>
          <w:szCs w:val="32"/>
          <w:shd w:val="clear" w:color="auto" w:fill="FFFFFF"/>
          <w:lang w:val="en-US" w:eastAsia="zh-CN"/>
        </w:rPr>
        <w:t>等</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3.典型案例的服务质量和效果。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三、细分行业解决方案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1、试点行业调研情况。调研团队、调研时间、调研情况以及主要结论。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2、试点行业问题梳理情况。梳理试点行业中小企业数字化转型的痛点、难点、堵点，厘清亟需解决的共性问题，兼顾试点企业个性需求，提炼行业共性应用场景和企业个性应用场景，提出系统解决方案。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四、服务企业情况</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1、试点企业情况及数字化转型目标。需明确本年度具体的试点企业及时间安排、转型目标、改造具体内容及完成保障。</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2、试点企业数字化转型成本测算。由服务平台根据成熟改造标准或委托第三方财务机构，结合不同细分行业中小企业数字化转型特点评估实际改造成本（均需提供证明材料），测算奖补资金规模。</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试点企业数字化转型绩效管理。需明确绩效运行监控、绩效评价、绩效结果应用等相关内容，同时填报附表4《2023年XX市XX行业数字化转型绩效评价目标表》明确对应服务企业的解决方案和绩效目标，包括主要服务内容、特点、每项共性应用场景和个性应用场景价格、投入产出预期、取得具体成效、实施时间、人员培训等。</w:t>
      </w:r>
    </w:p>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tabs>
          <w:tab w:val="left" w:pos="2646"/>
        </w:tabs>
        <w:adjustRightInd/>
        <w:snapToGrid/>
        <w:spacing w:line="240" w:lineRule="auto"/>
        <w:jc w:val="center"/>
        <w:rPr>
          <w:rFonts w:hint="eastAsia" w:ascii="Times New Roman" w:hAnsi="Times New Roman" w:eastAsia="方正小标宋简体" w:cs="方正小标宋简体"/>
          <w:color w:val="000000"/>
          <w:sz w:val="36"/>
          <w:szCs w:val="36"/>
          <w:highlight w:val="none"/>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黑体" w:hAnsi="黑体" w:eastAsia="仿宋" w:cs="黑体"/>
          <w:color w:val="000000"/>
          <w:sz w:val="32"/>
          <w:szCs w:val="32"/>
          <w:shd w:val="clear" w:color="auto" w:fill="FFFFFF"/>
          <w:lang w:val="en-US" w:eastAsia="zh-CN"/>
        </w:rPr>
      </w:pPr>
    </w:p>
    <w:p>
      <w:pPr>
        <w:pStyle w:val="2"/>
        <w:rPr>
          <w:rFonts w:hint="eastAsia"/>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附3</w:t>
      </w:r>
    </w:p>
    <w:p>
      <w:pPr>
        <w:pStyle w:val="2"/>
        <w:tabs>
          <w:tab w:val="left" w:pos="5220"/>
        </w:tabs>
        <w:adjustRightInd/>
        <w:snapToGrid/>
        <w:spacing w:line="560" w:lineRule="exact"/>
        <w:jc w:val="center"/>
        <w:rPr>
          <w:rFonts w:hint="eastAsia" w:ascii="Times New Roman" w:hAnsi="Times New Roman" w:eastAsia="方正小标宋简体" w:cs="方正小标宋简体"/>
          <w:color w:val="000000"/>
          <w:sz w:val="36"/>
          <w:szCs w:val="36"/>
          <w:highlight w:val="none"/>
          <w:lang w:eastAsia="zh-CN"/>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3</w:t>
      </w:r>
      <w:r>
        <w:rPr>
          <w:rFonts w:hint="eastAsia" w:ascii="Times New Roman" w:hAnsi="Times New Roman" w:eastAsia="方正小标宋简体" w:cs="方正小标宋简体"/>
          <w:color w:val="000000"/>
          <w:sz w:val="36"/>
          <w:szCs w:val="36"/>
          <w:highlight w:val="none"/>
        </w:rPr>
        <w:t>年XX</w:t>
      </w:r>
      <w:r>
        <w:rPr>
          <w:rFonts w:hint="eastAsia" w:ascii="Times New Roman" w:hAnsi="Times New Roman" w:eastAsia="方正小标宋简体" w:cs="方正小标宋简体"/>
          <w:color w:val="000000"/>
          <w:sz w:val="36"/>
          <w:szCs w:val="36"/>
          <w:highlight w:val="none"/>
          <w:lang w:eastAsia="zh-CN"/>
        </w:rPr>
        <w:t>市</w:t>
      </w:r>
      <w:r>
        <w:rPr>
          <w:rFonts w:hint="eastAsia" w:ascii="Times New Roman" w:hAnsi="Times New Roman" w:eastAsia="方正小标宋简体" w:cs="方正小标宋简体"/>
          <w:color w:val="000000"/>
          <w:sz w:val="36"/>
          <w:szCs w:val="36"/>
          <w:highlight w:val="none"/>
        </w:rPr>
        <w:t>XX行业试点企业</w:t>
      </w:r>
      <w:r>
        <w:rPr>
          <w:rFonts w:hint="eastAsia" w:ascii="Times New Roman" w:hAnsi="Times New Roman" w:eastAsia="方正小标宋简体" w:cs="方正小标宋简体"/>
          <w:color w:val="000000"/>
          <w:sz w:val="36"/>
          <w:szCs w:val="36"/>
          <w:highlight w:val="none"/>
          <w:lang w:eastAsia="zh-CN"/>
        </w:rPr>
        <w:t>数字化转型汇总表</w:t>
      </w:r>
    </w:p>
    <w:p>
      <w:pPr>
        <w:pStyle w:val="2"/>
        <w:tabs>
          <w:tab w:val="left" w:pos="5220"/>
        </w:tabs>
        <w:adjustRightInd/>
        <w:snapToGrid/>
        <w:spacing w:line="560" w:lineRule="exact"/>
        <w:jc w:val="center"/>
        <w:rPr>
          <w:rFonts w:hint="eastAsia" w:ascii="Times New Roman" w:hAnsi="Times New Roman" w:eastAsia="方正小标宋简体" w:cs="方正小标宋简体"/>
          <w:color w:val="000000"/>
          <w:sz w:val="36"/>
          <w:szCs w:val="36"/>
          <w:highlight w:val="none"/>
        </w:rPr>
      </w:pPr>
    </w:p>
    <w:p>
      <w:pPr>
        <w:pStyle w:val="2"/>
        <w:tabs>
          <w:tab w:val="left" w:pos="5220"/>
        </w:tabs>
        <w:adjustRightInd/>
        <w:snapToGrid/>
        <w:spacing w:line="560" w:lineRule="exac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 xml:space="preserve">省级中小企业主管部门：（盖章）                                                                        </w:t>
      </w:r>
    </w:p>
    <w:p>
      <w:pPr>
        <w:rPr>
          <w:rFonts w:hint="default"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 xml:space="preserve">填表日期：                         填表人：    </w:t>
      </w:r>
      <w:r>
        <w:rPr>
          <w:rFonts w:hint="eastAsia" w:eastAsia="宋体" w:cs="Times New Roman"/>
          <w:kern w:val="2"/>
          <w:sz w:val="24"/>
          <w:szCs w:val="22"/>
          <w:lang w:val="en-US" w:eastAsia="zh-CN" w:bidi="ar-SA"/>
        </w:rPr>
        <w:t xml:space="preserve">     </w:t>
      </w:r>
      <w:r>
        <w:rPr>
          <w:rFonts w:hint="eastAsia" w:ascii="Calibri" w:hAnsi="Calibri" w:eastAsia="宋体" w:cs="Times New Roman"/>
          <w:kern w:val="2"/>
          <w:sz w:val="24"/>
          <w:szCs w:val="22"/>
          <w:lang w:val="en-US" w:eastAsia="zh-CN" w:bidi="ar-SA"/>
        </w:rPr>
        <w:t xml:space="preserve">             联系电话：</w:t>
      </w:r>
      <w:r>
        <w:rPr>
          <w:rFonts w:hint="eastAsia" w:eastAsia="宋体" w:cs="Times New Roman"/>
          <w:kern w:val="2"/>
          <w:sz w:val="24"/>
          <w:szCs w:val="22"/>
          <w:lang w:val="en-US" w:eastAsia="zh-CN" w:bidi="ar-SA"/>
        </w:rPr>
        <w:t xml:space="preserve">                             </w:t>
      </w:r>
      <w:r>
        <w:rPr>
          <w:rFonts w:hint="eastAsia" w:ascii="Calibri" w:hAnsi="Calibri" w:eastAsia="宋体" w:cs="Times New Roman"/>
          <w:kern w:val="2"/>
          <w:sz w:val="24"/>
          <w:szCs w:val="22"/>
          <w:lang w:val="en-US" w:eastAsia="zh-CN" w:bidi="ar-SA"/>
        </w:rPr>
        <w:t>单位：万元</w:t>
      </w:r>
    </w:p>
    <w:tbl>
      <w:tblPr>
        <w:tblStyle w:val="14"/>
        <w:tblW w:w="1493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246"/>
        <w:gridCol w:w="2891"/>
        <w:gridCol w:w="2891"/>
        <w:gridCol w:w="285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982" w:type="dxa"/>
            <w:noWrap w:val="0"/>
            <w:vAlign w:val="top"/>
          </w:tcPr>
          <w:p>
            <w:pPr>
              <w:pStyle w:val="2"/>
              <w:tabs>
                <w:tab w:val="left" w:pos="5220"/>
              </w:tabs>
              <w:adjustRightInd/>
              <w:snapToGrid/>
              <w:spacing w:line="560" w:lineRule="exact"/>
              <w:jc w:val="center"/>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序号</w:t>
            </w:r>
          </w:p>
        </w:tc>
        <w:tc>
          <w:tcPr>
            <w:tcW w:w="3246" w:type="dxa"/>
            <w:noWrap w:val="0"/>
            <w:vAlign w:val="top"/>
          </w:tcPr>
          <w:p>
            <w:pPr>
              <w:pStyle w:val="2"/>
              <w:tabs>
                <w:tab w:val="left" w:pos="5220"/>
              </w:tabs>
              <w:adjustRightInd/>
              <w:snapToGrid/>
              <w:spacing w:line="560" w:lineRule="exact"/>
              <w:jc w:val="center"/>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企业名称（</w:t>
            </w:r>
            <w:r>
              <w:rPr>
                <w:rFonts w:hint="eastAsia" w:ascii="Times New Roman" w:hAnsi="Times New Roman" w:cs="仿宋_GB2312"/>
                <w:color w:val="000000"/>
                <w:sz w:val="28"/>
                <w:szCs w:val="28"/>
                <w:highlight w:val="none"/>
              </w:rPr>
              <w:t>服务平台</w:t>
            </w:r>
            <w:r>
              <w:rPr>
                <w:rFonts w:hint="eastAsia" w:ascii="Times New Roman" w:hAnsi="Times New Roman" w:cs="仿宋_GB2312"/>
                <w:color w:val="000000"/>
                <w:sz w:val="28"/>
                <w:szCs w:val="28"/>
                <w:highlight w:val="none"/>
                <w:lang w:eastAsia="zh-CN"/>
              </w:rPr>
              <w:t>）</w:t>
            </w:r>
          </w:p>
        </w:tc>
        <w:tc>
          <w:tcPr>
            <w:tcW w:w="2891" w:type="dxa"/>
            <w:noWrap w:val="0"/>
            <w:vAlign w:val="top"/>
          </w:tcPr>
          <w:p>
            <w:pPr>
              <w:pStyle w:val="2"/>
              <w:tabs>
                <w:tab w:val="left" w:pos="5220"/>
              </w:tabs>
              <w:adjustRightInd/>
              <w:snapToGrid/>
              <w:spacing w:line="560" w:lineRule="exact"/>
              <w:jc w:val="center"/>
              <w:rPr>
                <w:rFonts w:hint="eastAsia" w:ascii="Times New Roman" w:hAnsi="Times New Roman" w:eastAsia="宋体" w:cs="仿宋_GB2312"/>
                <w:color w:val="000000"/>
                <w:sz w:val="28"/>
                <w:szCs w:val="28"/>
                <w:highlight w:val="none"/>
                <w:lang w:eastAsia="zh-CN"/>
              </w:rPr>
            </w:pPr>
            <w:r>
              <w:rPr>
                <w:rFonts w:hint="eastAsia" w:ascii="Times New Roman" w:hAnsi="Times New Roman" w:cs="仿宋_GB2312"/>
                <w:color w:val="000000"/>
                <w:sz w:val="28"/>
                <w:szCs w:val="28"/>
                <w:highlight w:val="none"/>
                <w:lang w:eastAsia="zh-CN"/>
              </w:rPr>
              <w:t>对应行业</w:t>
            </w:r>
          </w:p>
        </w:tc>
        <w:tc>
          <w:tcPr>
            <w:tcW w:w="2891" w:type="dxa"/>
            <w:noWrap w:val="0"/>
            <w:vAlign w:val="top"/>
          </w:tcPr>
          <w:p>
            <w:pPr>
              <w:pStyle w:val="2"/>
              <w:tabs>
                <w:tab w:val="left" w:pos="5220"/>
              </w:tabs>
              <w:adjustRightInd/>
              <w:snapToGrid/>
              <w:spacing w:line="560" w:lineRule="exact"/>
              <w:jc w:val="center"/>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color w:val="000000"/>
                <w:sz w:val="28"/>
                <w:szCs w:val="28"/>
                <w:highlight w:val="none"/>
                <w:lang w:eastAsia="zh-CN"/>
              </w:rPr>
              <w:t>试点企业名称</w:t>
            </w:r>
          </w:p>
        </w:tc>
        <w:tc>
          <w:tcPr>
            <w:tcW w:w="2855" w:type="dxa"/>
            <w:noWrap w:val="0"/>
            <w:vAlign w:val="top"/>
          </w:tcPr>
          <w:p>
            <w:pPr>
              <w:pStyle w:val="2"/>
              <w:tabs>
                <w:tab w:val="left" w:pos="5220"/>
              </w:tabs>
              <w:adjustRightInd/>
              <w:snapToGrid/>
              <w:spacing w:line="560" w:lineRule="exact"/>
              <w:jc w:val="center"/>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color w:val="000000"/>
                <w:sz w:val="28"/>
                <w:szCs w:val="28"/>
                <w:highlight w:val="none"/>
                <w:lang w:eastAsia="zh-CN"/>
              </w:rPr>
              <w:t>实际改造成本</w:t>
            </w:r>
          </w:p>
        </w:tc>
        <w:tc>
          <w:tcPr>
            <w:tcW w:w="2072" w:type="dxa"/>
            <w:noWrap w:val="0"/>
            <w:vAlign w:val="top"/>
          </w:tcPr>
          <w:p>
            <w:pPr>
              <w:pStyle w:val="2"/>
              <w:tabs>
                <w:tab w:val="left" w:pos="5220"/>
              </w:tabs>
              <w:adjustRightInd/>
              <w:snapToGrid/>
              <w:spacing w:line="560" w:lineRule="exact"/>
              <w:jc w:val="center"/>
              <w:rPr>
                <w:rFonts w:hint="eastAsia" w:ascii="Times New Roman" w:hAnsi="Times New Roman" w:cs="仿宋_GB2312"/>
                <w:color w:val="000000"/>
                <w:sz w:val="28"/>
                <w:szCs w:val="28"/>
                <w:highlight w:val="none"/>
                <w:lang w:eastAsia="zh-CN"/>
              </w:rPr>
            </w:pPr>
            <w:r>
              <w:rPr>
                <w:rFonts w:hint="eastAsia" w:ascii="Times New Roman" w:hAnsi="Times New Roman" w:cs="仿宋_GB2312"/>
                <w:color w:val="000000"/>
                <w:sz w:val="28"/>
                <w:szCs w:val="28"/>
                <w:highlight w:val="none"/>
                <w:lang w:eastAsia="zh-CN"/>
              </w:rPr>
              <w:t>奖补资金额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 w:type="dxa"/>
            <w:vMerge w:val="restart"/>
            <w:noWrap w:val="0"/>
            <w:vAlign w:val="center"/>
          </w:tcPr>
          <w:p>
            <w:pPr>
              <w:pStyle w:val="2"/>
              <w:tabs>
                <w:tab w:val="left" w:pos="5220"/>
              </w:tabs>
              <w:adjustRightInd/>
              <w:snapToGrid/>
              <w:spacing w:line="560" w:lineRule="exact"/>
              <w:jc w:val="center"/>
              <w:rPr>
                <w:rFonts w:hint="eastAsia" w:ascii="Times New Roman" w:hAnsi="Times New Roman" w:eastAsia="宋体" w:cs="仿宋_GB2312"/>
                <w:color w:val="000000"/>
                <w:szCs w:val="32"/>
                <w:highlight w:val="none"/>
                <w:lang w:val="en-US" w:eastAsia="zh-CN"/>
              </w:rPr>
            </w:pPr>
            <w:r>
              <w:rPr>
                <w:rFonts w:hint="eastAsia" w:ascii="Times New Roman" w:hAnsi="Times New Roman" w:cs="仿宋_GB2312"/>
                <w:color w:val="000000"/>
                <w:szCs w:val="32"/>
                <w:highlight w:val="none"/>
                <w:lang w:val="en-US" w:eastAsia="zh-CN"/>
              </w:rPr>
              <w:t>1</w:t>
            </w:r>
          </w:p>
        </w:tc>
        <w:tc>
          <w:tcPr>
            <w:tcW w:w="3246"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 w:type="dxa"/>
            <w:vMerge w:val="continue"/>
            <w:noWrap w:val="0"/>
            <w:vAlign w:val="center"/>
          </w:tcPr>
          <w:p>
            <w:pPr>
              <w:pStyle w:val="2"/>
              <w:tabs>
                <w:tab w:val="left" w:pos="5220"/>
              </w:tabs>
              <w:adjustRightInd/>
              <w:snapToGrid/>
              <w:spacing w:line="560" w:lineRule="exact"/>
              <w:jc w:val="center"/>
              <w:rPr>
                <w:rFonts w:ascii="Times New Roman" w:hAnsi="Times New Roman" w:cs="仿宋_GB2312"/>
                <w:color w:val="000000"/>
                <w:szCs w:val="32"/>
                <w:highlight w:val="none"/>
              </w:rPr>
            </w:pPr>
          </w:p>
        </w:tc>
        <w:tc>
          <w:tcPr>
            <w:tcW w:w="3246"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default" w:ascii="Times New Roman" w:hAnsi="Times New Roman" w:eastAsia="仿宋_GB2312" w:cs="仿宋_GB2312"/>
                <w:color w:val="000000"/>
                <w:szCs w:val="32"/>
                <w:highlight w:val="none"/>
                <w:lang w:val="en-US" w:eastAsia="zh-CN"/>
              </w:rPr>
            </w:pPr>
            <w:r>
              <w:rPr>
                <w:rFonts w:hint="eastAsia" w:ascii="Times New Roman" w:hAnsi="Times New Roman" w:cs="仿宋_GB2312"/>
                <w:color w:val="000000"/>
                <w:szCs w:val="32"/>
                <w:highlight w:val="none"/>
                <w:lang w:val="en-US" w:eastAsia="zh-CN"/>
              </w:rPr>
              <w:t>......</w:t>
            </w: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 w:type="dxa"/>
            <w:vMerge w:val="restart"/>
            <w:noWrap w:val="0"/>
            <w:vAlign w:val="center"/>
          </w:tcPr>
          <w:p>
            <w:pPr>
              <w:pStyle w:val="2"/>
              <w:tabs>
                <w:tab w:val="left" w:pos="5220"/>
              </w:tabs>
              <w:adjustRightInd/>
              <w:snapToGrid/>
              <w:spacing w:line="560" w:lineRule="exact"/>
              <w:jc w:val="center"/>
              <w:rPr>
                <w:rFonts w:hint="eastAsia" w:ascii="Times New Roman" w:hAnsi="Times New Roman" w:eastAsia="仿宋_GB2312" w:cs="仿宋_GB2312"/>
                <w:color w:val="000000"/>
                <w:szCs w:val="32"/>
                <w:highlight w:val="none"/>
                <w:lang w:val="en-US" w:eastAsia="zh-CN"/>
              </w:rPr>
            </w:pPr>
            <w:r>
              <w:rPr>
                <w:rFonts w:hint="eastAsia" w:ascii="Times New Roman" w:hAnsi="Times New Roman" w:cs="仿宋_GB2312"/>
                <w:color w:val="000000"/>
                <w:szCs w:val="32"/>
                <w:highlight w:val="none"/>
                <w:lang w:val="en-US" w:eastAsia="zh-CN"/>
              </w:rPr>
              <w:t>2</w:t>
            </w:r>
          </w:p>
        </w:tc>
        <w:tc>
          <w:tcPr>
            <w:tcW w:w="3246"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 w:type="dxa"/>
            <w:vMerge w:val="continue"/>
            <w:noWrap w:val="0"/>
            <w:vAlign w:val="center"/>
          </w:tcPr>
          <w:p>
            <w:pPr>
              <w:pStyle w:val="2"/>
              <w:tabs>
                <w:tab w:val="left" w:pos="5220"/>
              </w:tabs>
              <w:adjustRightInd/>
              <w:snapToGrid/>
              <w:spacing w:line="560" w:lineRule="exact"/>
              <w:jc w:val="center"/>
              <w:rPr>
                <w:rFonts w:ascii="Times New Roman" w:hAnsi="Times New Roman" w:cs="仿宋_GB2312"/>
                <w:color w:val="000000"/>
                <w:szCs w:val="32"/>
                <w:highlight w:val="none"/>
              </w:rPr>
            </w:pPr>
          </w:p>
        </w:tc>
        <w:tc>
          <w:tcPr>
            <w:tcW w:w="3246"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 w:type="dxa"/>
            <w:vMerge w:val="restart"/>
            <w:noWrap w:val="0"/>
            <w:vAlign w:val="center"/>
          </w:tcPr>
          <w:p>
            <w:pPr>
              <w:pStyle w:val="2"/>
              <w:tabs>
                <w:tab w:val="left" w:pos="5220"/>
              </w:tabs>
              <w:adjustRightInd/>
              <w:snapToGrid/>
              <w:spacing w:line="560" w:lineRule="exact"/>
              <w:jc w:val="center"/>
              <w:rPr>
                <w:rFonts w:hint="eastAsia" w:ascii="Times New Roman" w:hAnsi="Times New Roman" w:eastAsia="仿宋_GB2312" w:cs="仿宋_GB2312"/>
                <w:color w:val="000000"/>
                <w:szCs w:val="32"/>
                <w:highlight w:val="none"/>
                <w:lang w:val="en-US" w:eastAsia="zh-CN"/>
              </w:rPr>
            </w:pPr>
            <w:r>
              <w:rPr>
                <w:rFonts w:hint="eastAsia" w:ascii="Times New Roman" w:hAnsi="Times New Roman" w:cs="仿宋_GB2312"/>
                <w:color w:val="000000"/>
                <w:szCs w:val="32"/>
                <w:highlight w:val="none"/>
                <w:lang w:val="en-US" w:eastAsia="zh-CN"/>
              </w:rPr>
              <w:t>3</w:t>
            </w:r>
          </w:p>
        </w:tc>
        <w:tc>
          <w:tcPr>
            <w:tcW w:w="3246"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restart"/>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82"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3246"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vMerge w:val="continue"/>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891"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r>
              <w:rPr>
                <w:rFonts w:hint="eastAsia" w:ascii="Times New Roman" w:hAnsi="Times New Roman" w:cs="仿宋_GB2312"/>
                <w:color w:val="000000"/>
                <w:szCs w:val="32"/>
                <w:highlight w:val="none"/>
                <w:lang w:val="en-US" w:eastAsia="zh-CN"/>
              </w:rPr>
              <w:t>......</w:t>
            </w:r>
          </w:p>
        </w:tc>
        <w:tc>
          <w:tcPr>
            <w:tcW w:w="2855"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c>
          <w:tcPr>
            <w:tcW w:w="2072" w:type="dxa"/>
            <w:noWrap w:val="0"/>
            <w:vAlign w:val="center"/>
          </w:tcPr>
          <w:p>
            <w:pPr>
              <w:pStyle w:val="2"/>
              <w:tabs>
                <w:tab w:val="left" w:pos="5220"/>
              </w:tabs>
              <w:adjustRightInd/>
              <w:snapToGrid/>
              <w:spacing w:line="560" w:lineRule="exact"/>
              <w:jc w:val="center"/>
              <w:rPr>
                <w:rFonts w:hint="eastAsia" w:ascii="Times New Roman" w:hAnsi="Times New Roman" w:cs="仿宋_GB2312"/>
                <w:color w:val="000000"/>
                <w:szCs w:val="32"/>
                <w:highlight w:val="none"/>
              </w:rPr>
            </w:pPr>
          </w:p>
        </w:tc>
      </w:tr>
    </w:tbl>
    <w:p>
      <w:pPr>
        <w:widowControl/>
        <w:jc w:val="left"/>
        <w:rPr>
          <w:rFonts w:hint="eastAsia" w:asciiTheme="majorEastAsia" w:hAnsiTheme="majorEastAsia" w:eastAsiaTheme="majorEastAsia" w:cstheme="majorEastAsia"/>
          <w:b w:val="0"/>
          <w:bCs/>
          <w:kern w:val="0"/>
          <w:sz w:val="24"/>
          <w:szCs w:val="24"/>
          <w:lang w:val="en-US" w:eastAsia="zh-CN"/>
        </w:rPr>
      </w:pPr>
      <w:r>
        <w:rPr>
          <w:rFonts w:hint="eastAsia" w:ascii="Times New Roman" w:hAnsi="Times New Roman" w:cs="宋体"/>
          <w:color w:val="000000"/>
          <w:spacing w:val="0"/>
          <w:kern w:val="0"/>
          <w:sz w:val="24"/>
          <w:szCs w:val="24"/>
          <w:highlight w:val="none"/>
          <w:lang w:eastAsia="zh-CN"/>
        </w:rPr>
        <w:t>注：评估每个服务平台和每家企业数字化改造成本，需按照</w:t>
      </w:r>
      <w:r>
        <w:rPr>
          <w:rFonts w:hint="eastAsia" w:ascii="Times New Roman" w:hAnsi="Times New Roman" w:cs="宋体"/>
          <w:color w:val="000000"/>
          <w:spacing w:val="0"/>
          <w:kern w:val="0"/>
          <w:sz w:val="24"/>
          <w:szCs w:val="24"/>
          <w:highlight w:val="none"/>
        </w:rPr>
        <w:t>每个服务平台最高奖补不超过</w:t>
      </w:r>
      <w:r>
        <w:rPr>
          <w:rFonts w:hint="eastAsia" w:ascii="Times New Roman" w:hAnsi="Times New Roman" w:cs="宋体"/>
          <w:color w:val="000000"/>
          <w:spacing w:val="0"/>
          <w:kern w:val="0"/>
          <w:sz w:val="24"/>
          <w:szCs w:val="24"/>
          <w:highlight w:val="none"/>
          <w:lang w:val="en-US" w:eastAsia="zh-CN"/>
        </w:rPr>
        <w:t>2</w:t>
      </w:r>
      <w:r>
        <w:rPr>
          <w:rFonts w:hint="eastAsia" w:ascii="Times New Roman" w:hAnsi="Times New Roman" w:cs="宋体"/>
          <w:color w:val="000000"/>
          <w:spacing w:val="0"/>
          <w:kern w:val="0"/>
          <w:sz w:val="24"/>
          <w:szCs w:val="24"/>
          <w:highlight w:val="none"/>
          <w:lang w:val="en-US"/>
        </w:rPr>
        <w:t>00</w:t>
      </w:r>
      <w:r>
        <w:rPr>
          <w:rFonts w:hint="eastAsia" w:ascii="Times New Roman" w:hAnsi="Times New Roman" w:cs="宋体"/>
          <w:color w:val="000000"/>
          <w:spacing w:val="0"/>
          <w:kern w:val="0"/>
          <w:sz w:val="24"/>
          <w:szCs w:val="24"/>
          <w:highlight w:val="none"/>
        </w:rPr>
        <w:t>万元</w:t>
      </w:r>
      <w:r>
        <w:rPr>
          <w:rFonts w:hint="eastAsia" w:ascii="Times New Roman" w:hAnsi="Times New Roman" w:cs="宋体"/>
          <w:color w:val="000000"/>
          <w:spacing w:val="0"/>
          <w:kern w:val="0"/>
          <w:sz w:val="24"/>
          <w:szCs w:val="24"/>
          <w:highlight w:val="none"/>
          <w:lang w:eastAsia="zh-CN"/>
        </w:rPr>
        <w:t>、不超过</w:t>
      </w:r>
      <w:r>
        <w:rPr>
          <w:rFonts w:hint="eastAsia" w:ascii="Times New Roman" w:hAnsi="Times New Roman" w:cs="宋体"/>
          <w:color w:val="000000"/>
          <w:spacing w:val="0"/>
          <w:kern w:val="0"/>
          <w:sz w:val="24"/>
          <w:szCs w:val="24"/>
          <w:highlight w:val="none"/>
        </w:rPr>
        <w:t>每家试点企业实际改造成本</w:t>
      </w:r>
      <w:r>
        <w:rPr>
          <w:rFonts w:hint="eastAsia" w:ascii="Times New Roman" w:hAnsi="Times New Roman" w:cs="宋体"/>
          <w:color w:val="000000"/>
          <w:spacing w:val="0"/>
          <w:kern w:val="0"/>
          <w:sz w:val="24"/>
          <w:szCs w:val="24"/>
          <w:highlight w:val="none"/>
          <w:lang w:eastAsia="zh-CN"/>
        </w:rPr>
        <w:t>的</w:t>
      </w:r>
      <w:r>
        <w:rPr>
          <w:rFonts w:hint="eastAsia" w:ascii="Times New Roman" w:hAnsi="Times New Roman" w:cs="宋体"/>
          <w:color w:val="000000"/>
          <w:spacing w:val="0"/>
          <w:kern w:val="0"/>
          <w:sz w:val="24"/>
          <w:szCs w:val="24"/>
          <w:highlight w:val="none"/>
          <w:lang w:val="en-US" w:eastAsia="zh-CN"/>
        </w:rPr>
        <w:t>2</w:t>
      </w:r>
      <w:r>
        <w:rPr>
          <w:rFonts w:hint="eastAsia" w:ascii="Times New Roman" w:hAnsi="Times New Roman" w:cs="宋体"/>
          <w:color w:val="000000"/>
          <w:spacing w:val="0"/>
          <w:kern w:val="0"/>
          <w:sz w:val="24"/>
          <w:szCs w:val="24"/>
          <w:highlight w:val="none"/>
        </w:rPr>
        <w:t>0%</w:t>
      </w:r>
      <w:r>
        <w:rPr>
          <w:rFonts w:hint="eastAsia" w:ascii="Times New Roman" w:hAnsi="Times New Roman" w:cs="宋体"/>
          <w:color w:val="000000"/>
          <w:spacing w:val="0"/>
          <w:kern w:val="0"/>
          <w:sz w:val="24"/>
          <w:szCs w:val="24"/>
          <w:highlight w:val="none"/>
          <w:lang w:eastAsia="zh-CN"/>
        </w:rPr>
        <w:t>且奖补资金最高</w:t>
      </w:r>
      <w:r>
        <w:rPr>
          <w:rFonts w:hint="eastAsia" w:ascii="Times New Roman" w:hAnsi="Times New Roman" w:cs="宋体"/>
          <w:color w:val="000000"/>
          <w:spacing w:val="0"/>
          <w:kern w:val="0"/>
          <w:sz w:val="24"/>
          <w:szCs w:val="24"/>
          <w:highlight w:val="none"/>
        </w:rPr>
        <w:t>不超过</w:t>
      </w:r>
      <w:r>
        <w:rPr>
          <w:rFonts w:hint="eastAsia" w:ascii="Times New Roman" w:hAnsi="Times New Roman" w:cs="宋体"/>
          <w:color w:val="000000"/>
          <w:spacing w:val="0"/>
          <w:kern w:val="0"/>
          <w:sz w:val="24"/>
          <w:szCs w:val="24"/>
          <w:highlight w:val="none"/>
          <w:lang w:val="en-US" w:eastAsia="zh-CN"/>
        </w:rPr>
        <w:t>2</w:t>
      </w:r>
      <w:r>
        <w:rPr>
          <w:rFonts w:hint="eastAsia" w:ascii="Times New Roman" w:hAnsi="Times New Roman" w:cs="宋体"/>
          <w:color w:val="000000"/>
          <w:spacing w:val="0"/>
          <w:kern w:val="0"/>
          <w:sz w:val="24"/>
          <w:szCs w:val="24"/>
          <w:highlight w:val="none"/>
        </w:rPr>
        <w:t>0万元</w:t>
      </w:r>
      <w:r>
        <w:rPr>
          <w:rFonts w:hint="eastAsia" w:ascii="Times New Roman" w:hAnsi="Times New Roman" w:cs="宋体"/>
          <w:color w:val="000000"/>
          <w:spacing w:val="0"/>
          <w:kern w:val="0"/>
          <w:sz w:val="24"/>
          <w:szCs w:val="24"/>
          <w:highlight w:val="none"/>
          <w:lang w:eastAsia="zh-CN"/>
        </w:rPr>
        <w:t>的标准</w:t>
      </w:r>
      <w:r>
        <w:rPr>
          <w:rFonts w:hint="eastAsia" w:ascii="Times New Roman" w:hAnsi="Times New Roman" w:cs="宋体"/>
          <w:color w:val="000000"/>
          <w:spacing w:val="0"/>
          <w:kern w:val="0"/>
          <w:sz w:val="24"/>
          <w:szCs w:val="24"/>
          <w:highlight w:val="none"/>
        </w:rPr>
        <w:t>进行测算</w:t>
      </w:r>
      <w:r>
        <w:rPr>
          <w:rFonts w:hint="eastAsia" w:ascii="Times New Roman" w:hAnsi="Times New Roman" w:cs="宋体"/>
          <w:color w:val="000000"/>
          <w:spacing w:val="0"/>
          <w:kern w:val="0"/>
          <w:sz w:val="24"/>
          <w:szCs w:val="24"/>
          <w:highlight w:val="none"/>
          <w:lang w:eastAsia="zh-CN"/>
        </w:rPr>
        <w:t>。</w:t>
      </w:r>
    </w:p>
    <w:p>
      <w:pPr>
        <w:pStyle w:val="2"/>
        <w:rPr>
          <w:rFonts w:hint="eastAsia" w:asciiTheme="majorEastAsia" w:hAnsiTheme="majorEastAsia" w:eastAsiaTheme="majorEastAsia" w:cstheme="majorEastAsia"/>
          <w:b w:val="0"/>
          <w:bCs/>
          <w:kern w:val="0"/>
          <w:sz w:val="24"/>
          <w:szCs w:val="24"/>
          <w:lang w:val="en-US" w:eastAsia="zh-CN"/>
        </w:rPr>
      </w:pPr>
    </w:p>
    <w:p>
      <w:pPr>
        <w:pStyle w:val="2"/>
        <w:rPr>
          <w:rFonts w:hint="eastAsia" w:asciiTheme="majorEastAsia" w:hAnsiTheme="majorEastAsia" w:eastAsiaTheme="majorEastAsia" w:cstheme="majorEastAsia"/>
          <w:b w:val="0"/>
          <w:bCs/>
          <w:kern w:val="0"/>
          <w:sz w:val="24"/>
          <w:szCs w:val="24"/>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附4</w:t>
      </w:r>
    </w:p>
    <w:p>
      <w:pPr>
        <w:tabs>
          <w:tab w:val="left" w:pos="2646"/>
        </w:tabs>
        <w:adjustRightInd/>
        <w:snapToGrid/>
        <w:spacing w:line="240" w:lineRule="auto"/>
        <w:jc w:val="left"/>
        <w:rPr>
          <w:rFonts w:hint="eastAsia" w:ascii="Times New Roman" w:hAnsi="Times New Roman" w:eastAsia="方正小标宋简体" w:cs="方正小标宋简体"/>
          <w:color w:val="000000"/>
          <w:sz w:val="36"/>
          <w:szCs w:val="36"/>
          <w:highlight w:val="none"/>
        </w:rPr>
      </w:pPr>
    </w:p>
    <w:p>
      <w:pPr>
        <w:tabs>
          <w:tab w:val="left" w:pos="2646"/>
        </w:tabs>
        <w:adjustRightInd/>
        <w:snapToGrid/>
        <w:spacing w:line="240" w:lineRule="auto"/>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3</w:t>
      </w:r>
      <w:r>
        <w:rPr>
          <w:rFonts w:hint="eastAsia" w:ascii="Times New Roman" w:hAnsi="Times New Roman" w:eastAsia="方正小标宋简体" w:cs="方正小标宋简体"/>
          <w:color w:val="000000"/>
          <w:sz w:val="36"/>
          <w:szCs w:val="36"/>
          <w:highlight w:val="none"/>
        </w:rPr>
        <w:t>年XX</w:t>
      </w:r>
      <w:r>
        <w:rPr>
          <w:rFonts w:hint="eastAsia" w:ascii="Times New Roman" w:hAnsi="Times New Roman" w:eastAsia="方正小标宋简体" w:cs="方正小标宋简体"/>
          <w:color w:val="000000"/>
          <w:sz w:val="36"/>
          <w:szCs w:val="36"/>
          <w:highlight w:val="none"/>
          <w:lang w:eastAsia="zh-CN"/>
        </w:rPr>
        <w:t>市</w:t>
      </w:r>
      <w:r>
        <w:rPr>
          <w:rFonts w:hint="eastAsia" w:ascii="Times New Roman" w:hAnsi="Times New Roman" w:eastAsia="方正小标宋简体" w:cs="方正小标宋简体"/>
          <w:color w:val="000000"/>
          <w:sz w:val="36"/>
          <w:szCs w:val="36"/>
          <w:highlight w:val="none"/>
        </w:rPr>
        <w:t>XX行业数字化转型绩效</w:t>
      </w:r>
      <w:r>
        <w:rPr>
          <w:rFonts w:hint="eastAsia" w:ascii="Times New Roman" w:hAnsi="Times New Roman" w:eastAsia="方正小标宋简体" w:cs="方正小标宋简体"/>
          <w:color w:val="000000"/>
          <w:sz w:val="36"/>
          <w:szCs w:val="36"/>
          <w:highlight w:val="none"/>
          <w:lang w:eastAsia="zh-CN"/>
        </w:rPr>
        <w:t>评价</w:t>
      </w:r>
      <w:r>
        <w:rPr>
          <w:rFonts w:hint="eastAsia" w:ascii="Times New Roman" w:hAnsi="Times New Roman" w:eastAsia="方正小标宋简体" w:cs="方正小标宋简体"/>
          <w:color w:val="000000"/>
          <w:sz w:val="36"/>
          <w:szCs w:val="36"/>
          <w:highlight w:val="none"/>
        </w:rPr>
        <w:t>目标表</w:t>
      </w:r>
    </w:p>
    <w:p>
      <w:pPr>
        <w:pStyle w:val="2"/>
        <w:rPr>
          <w:rFonts w:hint="eastAsia" w:ascii="Times New Roman" w:hAnsi="Times New Roman" w:cs="仿宋_GB2312"/>
          <w:sz w:val="28"/>
          <w:szCs w:val="22"/>
          <w:highlight w:val="none"/>
        </w:rPr>
      </w:pPr>
    </w:p>
    <w:p>
      <w:pPr>
        <w:pStyle w:val="2"/>
        <w:rPr>
          <w:rFonts w:ascii="Times New Roman" w:hAnsi="Times New Roman" w:cs="仿宋_GB2312"/>
          <w:sz w:val="28"/>
          <w:szCs w:val="22"/>
          <w:highlight w:val="none"/>
        </w:rPr>
      </w:pPr>
      <w:r>
        <w:rPr>
          <w:rFonts w:hint="eastAsia" w:ascii="Times New Roman" w:hAnsi="Times New Roman" w:cs="仿宋_GB2312"/>
          <w:sz w:val="28"/>
          <w:szCs w:val="22"/>
          <w:highlight w:val="none"/>
        </w:rPr>
        <w:t>服务平台名称：</w:t>
      </w:r>
      <w:r>
        <w:rPr>
          <w:rFonts w:hint="eastAsia" w:ascii="Times New Roman" w:hAnsi="Times New Roman" w:cs="仿宋_GB2312"/>
          <w:sz w:val="28"/>
          <w:szCs w:val="22"/>
          <w:highlight w:val="none"/>
          <w:u w:val="single"/>
        </w:rPr>
        <w:t xml:space="preserve">                       </w:t>
      </w:r>
      <w:r>
        <w:rPr>
          <w:rFonts w:hint="eastAsia" w:ascii="Times New Roman" w:hAnsi="Times New Roman" w:cs="仿宋_GB2312"/>
          <w:sz w:val="28"/>
          <w:szCs w:val="22"/>
          <w:highlight w:val="none"/>
        </w:rPr>
        <w:t xml:space="preserve"> （盖章）</w:t>
      </w:r>
    </w:p>
    <w:tbl>
      <w:tblPr>
        <w:tblStyle w:val="14"/>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429"/>
        <w:gridCol w:w="3862"/>
        <w:gridCol w:w="95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8" w:type="dxa"/>
            <w:noWrap w:val="0"/>
            <w:vAlign w:val="center"/>
          </w:tcPr>
          <w:p>
            <w:pPr>
              <w:widowControl/>
              <w:autoSpaceDE/>
              <w:autoSpaceDN/>
              <w:adjustRightInd/>
              <w:snapToGrid/>
              <w:spacing w:line="240" w:lineRule="auto"/>
              <w:jc w:val="center"/>
              <w:rPr>
                <w:rFonts w:hint="eastAsia" w:ascii="Times New Roman" w:hAnsi="Times New Roman" w:cs="宋体"/>
                <w:b/>
                <w:bCs/>
                <w:color w:val="000000"/>
                <w:spacing w:val="0"/>
                <w:kern w:val="0"/>
                <w:sz w:val="24"/>
                <w:szCs w:val="24"/>
                <w:highlight w:val="none"/>
              </w:rPr>
            </w:pPr>
            <w:r>
              <w:rPr>
                <w:rFonts w:hint="default" w:ascii="Times New Roman" w:hAnsi="Times New Roman" w:cs="宋体"/>
                <w:b/>
                <w:bCs/>
                <w:color w:val="000000"/>
                <w:spacing w:val="0"/>
                <w:kern w:val="0"/>
                <w:sz w:val="24"/>
                <w:szCs w:val="24"/>
                <w:highlight w:val="none"/>
              </w:rPr>
              <w:t>一级指标</w:t>
            </w:r>
          </w:p>
        </w:tc>
        <w:tc>
          <w:tcPr>
            <w:tcW w:w="2429" w:type="dxa"/>
            <w:noWrap w:val="0"/>
            <w:vAlign w:val="center"/>
          </w:tcPr>
          <w:p>
            <w:pPr>
              <w:widowControl/>
              <w:autoSpaceDE/>
              <w:autoSpaceDN/>
              <w:adjustRightInd/>
              <w:snapToGrid/>
              <w:spacing w:line="240" w:lineRule="auto"/>
              <w:jc w:val="center"/>
              <w:rPr>
                <w:rFonts w:ascii="Times New Roman" w:hAnsi="Times New Roman" w:cs="宋体"/>
                <w:b/>
                <w:bCs/>
                <w:color w:val="000000"/>
                <w:spacing w:val="0"/>
                <w:kern w:val="0"/>
                <w:sz w:val="24"/>
                <w:szCs w:val="24"/>
                <w:highlight w:val="none"/>
              </w:rPr>
            </w:pPr>
            <w:r>
              <w:rPr>
                <w:rFonts w:hint="default" w:ascii="Times New Roman" w:hAnsi="Times New Roman" w:cs="宋体"/>
                <w:b/>
                <w:bCs/>
                <w:color w:val="000000"/>
                <w:spacing w:val="0"/>
                <w:kern w:val="0"/>
                <w:sz w:val="24"/>
                <w:szCs w:val="24"/>
                <w:highlight w:val="none"/>
              </w:rPr>
              <w:t>二级</w:t>
            </w:r>
            <w:r>
              <w:rPr>
                <w:rFonts w:hint="eastAsia" w:ascii="Times New Roman" w:hAnsi="Times New Roman" w:cs="宋体"/>
                <w:b/>
                <w:bCs/>
                <w:color w:val="000000"/>
                <w:spacing w:val="0"/>
                <w:kern w:val="0"/>
                <w:sz w:val="24"/>
                <w:szCs w:val="24"/>
                <w:highlight w:val="none"/>
              </w:rPr>
              <w:t>指标</w:t>
            </w:r>
          </w:p>
        </w:tc>
        <w:tc>
          <w:tcPr>
            <w:tcW w:w="3862" w:type="dxa"/>
            <w:noWrap w:val="0"/>
            <w:vAlign w:val="center"/>
          </w:tcPr>
          <w:p>
            <w:pPr>
              <w:widowControl/>
              <w:autoSpaceDE/>
              <w:autoSpaceDN/>
              <w:adjustRightInd/>
              <w:snapToGrid/>
              <w:spacing w:line="240" w:lineRule="auto"/>
              <w:jc w:val="center"/>
              <w:rPr>
                <w:rFonts w:hint="eastAsia" w:ascii="Times New Roman" w:hAnsi="Times New Roman" w:cs="宋体"/>
                <w:b/>
                <w:bCs/>
                <w:color w:val="000000"/>
                <w:spacing w:val="0"/>
                <w:kern w:val="0"/>
                <w:sz w:val="24"/>
                <w:szCs w:val="24"/>
                <w:highlight w:val="none"/>
              </w:rPr>
            </w:pPr>
            <w:r>
              <w:rPr>
                <w:rFonts w:hint="default" w:ascii="Times New Roman" w:hAnsi="Times New Roman" w:cs="宋体"/>
                <w:b/>
                <w:bCs/>
                <w:color w:val="000000"/>
                <w:spacing w:val="0"/>
                <w:kern w:val="0"/>
                <w:sz w:val="24"/>
                <w:szCs w:val="24"/>
                <w:highlight w:val="none"/>
              </w:rPr>
              <w:t>三级</w:t>
            </w:r>
            <w:r>
              <w:rPr>
                <w:rFonts w:hint="eastAsia" w:ascii="Times New Roman" w:hAnsi="Times New Roman" w:cs="宋体"/>
                <w:b/>
                <w:bCs/>
                <w:color w:val="000000"/>
                <w:spacing w:val="0"/>
                <w:kern w:val="0"/>
                <w:sz w:val="24"/>
                <w:szCs w:val="24"/>
                <w:highlight w:val="none"/>
              </w:rPr>
              <w:t>指标</w:t>
            </w:r>
          </w:p>
        </w:tc>
        <w:tc>
          <w:tcPr>
            <w:tcW w:w="950" w:type="dxa"/>
            <w:noWrap w:val="0"/>
            <w:vAlign w:val="center"/>
          </w:tcPr>
          <w:p>
            <w:pPr>
              <w:widowControl/>
              <w:autoSpaceDE/>
              <w:autoSpaceDN/>
              <w:adjustRightInd/>
              <w:snapToGrid/>
              <w:spacing w:line="240" w:lineRule="auto"/>
              <w:jc w:val="center"/>
              <w:rPr>
                <w:rFonts w:hint="eastAsia" w:ascii="Times New Roman" w:hAnsi="Times New Roman" w:cs="宋体"/>
                <w:b/>
                <w:bCs/>
                <w:color w:val="000000"/>
                <w:spacing w:val="0"/>
                <w:kern w:val="0"/>
                <w:sz w:val="24"/>
                <w:szCs w:val="24"/>
                <w:highlight w:val="none"/>
              </w:rPr>
            </w:pPr>
            <w:r>
              <w:rPr>
                <w:rFonts w:hint="eastAsia" w:ascii="Times New Roman" w:hAnsi="Times New Roman" w:cs="宋体"/>
                <w:b/>
                <w:bCs/>
                <w:color w:val="000000"/>
                <w:spacing w:val="0"/>
                <w:kern w:val="0"/>
                <w:sz w:val="24"/>
                <w:szCs w:val="24"/>
                <w:highlight w:val="none"/>
                <w:lang w:eastAsia="zh-CN"/>
              </w:rPr>
              <w:t>期初值</w:t>
            </w:r>
          </w:p>
        </w:tc>
        <w:tc>
          <w:tcPr>
            <w:tcW w:w="942" w:type="dxa"/>
            <w:noWrap w:val="0"/>
            <w:vAlign w:val="center"/>
          </w:tcPr>
          <w:p>
            <w:pPr>
              <w:widowControl/>
              <w:autoSpaceDE/>
              <w:autoSpaceDN/>
              <w:adjustRightInd/>
              <w:snapToGrid/>
              <w:spacing w:line="240" w:lineRule="auto"/>
              <w:jc w:val="center"/>
              <w:rPr>
                <w:rFonts w:hint="eastAsia" w:ascii="Times New Roman" w:hAnsi="Times New Roman" w:cs="宋体"/>
                <w:b/>
                <w:bCs/>
                <w:color w:val="000000"/>
                <w:spacing w:val="0"/>
                <w:kern w:val="0"/>
                <w:sz w:val="24"/>
                <w:szCs w:val="24"/>
                <w:highlight w:val="none"/>
              </w:rPr>
            </w:pPr>
            <w:r>
              <w:rPr>
                <w:rFonts w:hint="eastAsia" w:ascii="Times New Roman" w:hAnsi="Times New Roman" w:cs="宋体"/>
                <w:b/>
                <w:bCs/>
                <w:color w:val="000000"/>
                <w:spacing w:val="0"/>
                <w:kern w:val="0"/>
                <w:sz w:val="24"/>
                <w:szCs w:val="24"/>
                <w:highlight w:val="non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68" w:type="dxa"/>
            <w:vMerge w:val="restart"/>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lang w:eastAsia="zh-CN"/>
              </w:rPr>
            </w:pPr>
            <w:r>
              <w:rPr>
                <w:rFonts w:hint="default" w:ascii="Times New Roman" w:hAnsi="Times New Roman" w:cs="宋体"/>
                <w:color w:val="000000"/>
                <w:spacing w:val="0"/>
                <w:kern w:val="0"/>
                <w:sz w:val="24"/>
                <w:szCs w:val="24"/>
                <w:highlight w:val="none"/>
                <w:lang w:eastAsia="zh-CN"/>
              </w:rPr>
              <w:t>关键指标</w:t>
            </w:r>
          </w:p>
        </w:tc>
        <w:tc>
          <w:tcPr>
            <w:tcW w:w="2429" w:type="dxa"/>
            <w:vMerge w:val="restart"/>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eastAsia="zh-CN"/>
              </w:rPr>
            </w:pPr>
            <w:r>
              <w:rPr>
                <w:rFonts w:hint="eastAsia" w:ascii="Times New Roman" w:hAnsi="Times New Roman" w:cs="宋体"/>
                <w:color w:val="000000"/>
                <w:spacing w:val="0"/>
                <w:kern w:val="0"/>
                <w:sz w:val="24"/>
                <w:szCs w:val="24"/>
                <w:highlight w:val="none"/>
                <w:lang w:eastAsia="zh-CN"/>
              </w:rPr>
              <w:t>基础设施联网率</w:t>
            </w:r>
          </w:p>
        </w:tc>
        <w:tc>
          <w:tcPr>
            <w:tcW w:w="3862" w:type="dxa"/>
            <w:noWrap w:val="0"/>
            <w:vAlign w:val="center"/>
          </w:tcPr>
          <w:p>
            <w:pPr>
              <w:widowControl/>
              <w:autoSpaceDE/>
              <w:autoSpaceDN/>
              <w:adjustRightInd/>
              <w:snapToGrid/>
              <w:spacing w:line="240" w:lineRule="auto"/>
              <w:ind w:firstLine="0" w:firstLineChars="0"/>
              <w:jc w:val="left"/>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设备设施数字化率</w:t>
            </w:r>
          </w:p>
        </w:tc>
        <w:tc>
          <w:tcPr>
            <w:tcW w:w="950"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c>
          <w:tcPr>
            <w:tcW w:w="942"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68" w:type="dxa"/>
            <w:vMerge w:val="continue"/>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lang w:eastAsia="zh-CN"/>
              </w:rPr>
            </w:pPr>
          </w:p>
        </w:tc>
        <w:tc>
          <w:tcPr>
            <w:tcW w:w="2429" w:type="dxa"/>
            <w:vMerge w:val="continue"/>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lang w:eastAsia="zh-CN"/>
              </w:rPr>
            </w:pPr>
          </w:p>
        </w:tc>
        <w:tc>
          <w:tcPr>
            <w:tcW w:w="3862" w:type="dxa"/>
            <w:noWrap w:val="0"/>
            <w:vAlign w:val="center"/>
          </w:tcPr>
          <w:p>
            <w:pPr>
              <w:widowControl/>
              <w:autoSpaceDE/>
              <w:autoSpaceDN/>
              <w:adjustRightInd/>
              <w:snapToGrid/>
              <w:spacing w:line="240" w:lineRule="auto"/>
              <w:ind w:firstLine="0" w:firstLineChars="0"/>
              <w:jc w:val="left"/>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数字化设备设施联网率</w:t>
            </w:r>
          </w:p>
        </w:tc>
        <w:tc>
          <w:tcPr>
            <w:tcW w:w="950"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c>
          <w:tcPr>
            <w:tcW w:w="942"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68" w:type="dxa"/>
            <w:vMerge w:val="continue"/>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eastAsia="zh-CN"/>
              </w:rPr>
            </w:pPr>
          </w:p>
        </w:tc>
        <w:tc>
          <w:tcPr>
            <w:tcW w:w="2429" w:type="dxa"/>
            <w:vMerge w:val="continue"/>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eastAsia="zh-CN"/>
              </w:rPr>
            </w:pPr>
          </w:p>
        </w:tc>
        <w:tc>
          <w:tcPr>
            <w:tcW w:w="3862" w:type="dxa"/>
            <w:noWrap w:val="0"/>
            <w:vAlign w:val="center"/>
          </w:tcPr>
          <w:p>
            <w:pPr>
              <w:widowControl/>
              <w:autoSpaceDE/>
              <w:autoSpaceDN/>
              <w:adjustRightInd/>
              <w:snapToGrid/>
              <w:spacing w:line="240" w:lineRule="auto"/>
              <w:ind w:firstLine="0" w:firstLineChars="0"/>
              <w:jc w:val="left"/>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设备设施上云率</w:t>
            </w:r>
          </w:p>
        </w:tc>
        <w:tc>
          <w:tcPr>
            <w:tcW w:w="950"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c>
          <w:tcPr>
            <w:tcW w:w="942"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68" w:type="dxa"/>
            <w:vMerge w:val="continue"/>
            <w:noWrap w:val="0"/>
            <w:vAlign w:val="center"/>
          </w:tcPr>
          <w:p>
            <w:pPr>
              <w:widowControl/>
              <w:autoSpaceDE/>
              <w:autoSpaceDN/>
              <w:adjustRightInd/>
              <w:snapToGrid/>
              <w:spacing w:line="240" w:lineRule="auto"/>
              <w:ind w:firstLine="0" w:firstLineChars="0"/>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widowControl/>
              <w:autoSpaceDE/>
              <w:autoSpaceDN/>
              <w:adjustRightInd/>
              <w:snapToGrid/>
              <w:spacing w:line="240" w:lineRule="auto"/>
              <w:ind w:firstLine="0" w:firstLineChars="0"/>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管理数字化水平</w:t>
            </w:r>
          </w:p>
        </w:tc>
        <w:tc>
          <w:tcPr>
            <w:tcW w:w="3862" w:type="dxa"/>
            <w:noWrap w:val="0"/>
            <w:vAlign w:val="center"/>
          </w:tcPr>
          <w:p>
            <w:pPr>
              <w:widowControl/>
              <w:autoSpaceDE/>
              <w:autoSpaceDN/>
              <w:adjustRightInd/>
              <w:snapToGrid/>
              <w:spacing w:line="240" w:lineRule="auto"/>
              <w:ind w:firstLine="0" w:firstLineChars="0"/>
              <w:jc w:val="left"/>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核心经营管理环节数字化工具普及率</w:t>
            </w:r>
          </w:p>
        </w:tc>
        <w:tc>
          <w:tcPr>
            <w:tcW w:w="950"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c>
          <w:tcPr>
            <w:tcW w:w="942"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268" w:type="dxa"/>
            <w:vMerge w:val="continue"/>
            <w:noWrap w:val="0"/>
            <w:vAlign w:val="center"/>
          </w:tcPr>
          <w:p>
            <w:pPr>
              <w:widowControl/>
              <w:autoSpaceDE/>
              <w:autoSpaceDN/>
              <w:adjustRightInd/>
              <w:snapToGrid/>
              <w:spacing w:line="240" w:lineRule="auto"/>
              <w:ind w:firstLine="0" w:firstLineChars="0"/>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widowControl/>
              <w:autoSpaceDE/>
              <w:autoSpaceDN/>
              <w:adjustRightInd/>
              <w:snapToGrid/>
              <w:spacing w:line="240" w:lineRule="auto"/>
              <w:ind w:firstLine="0" w:firstLineChars="0"/>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拆单效率</w:t>
            </w:r>
          </w:p>
        </w:tc>
        <w:tc>
          <w:tcPr>
            <w:tcW w:w="3862" w:type="dxa"/>
            <w:noWrap w:val="0"/>
            <w:vAlign w:val="center"/>
          </w:tcPr>
          <w:p>
            <w:pPr>
              <w:widowControl/>
              <w:autoSpaceDE/>
              <w:autoSpaceDN/>
              <w:adjustRightInd/>
              <w:snapToGrid/>
              <w:spacing w:line="240" w:lineRule="auto"/>
              <w:ind w:firstLine="0" w:firstLineChars="0"/>
              <w:jc w:val="left"/>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企业拆单效率</w:t>
            </w:r>
          </w:p>
        </w:tc>
        <w:tc>
          <w:tcPr>
            <w:tcW w:w="950"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c>
          <w:tcPr>
            <w:tcW w:w="942" w:type="dxa"/>
            <w:noWrap w:val="0"/>
            <w:vAlign w:val="center"/>
          </w:tcPr>
          <w:p>
            <w:pPr>
              <w:widowControl/>
              <w:autoSpaceDE/>
              <w:autoSpaceDN/>
              <w:adjustRightInd/>
              <w:snapToGrid/>
              <w:spacing w:line="240" w:lineRule="auto"/>
              <w:jc w:val="center"/>
              <w:rPr>
                <w:rFonts w:ascii="Times New Roman" w:hAnsi="Times New Roman" w:cs="宋体"/>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68" w:type="dxa"/>
            <w:vMerge w:val="continue"/>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lang w:eastAsia="zh-CN"/>
              </w:rPr>
            </w:pPr>
          </w:p>
        </w:tc>
        <w:tc>
          <w:tcPr>
            <w:tcW w:w="2429" w:type="dxa"/>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eastAsia="zh-CN"/>
              </w:rPr>
            </w:pPr>
            <w:r>
              <w:rPr>
                <w:rFonts w:hint="eastAsia" w:ascii="Times New Roman" w:hAnsi="Times New Roman" w:cs="宋体"/>
                <w:color w:val="000000"/>
                <w:spacing w:val="0"/>
                <w:kern w:val="0"/>
                <w:sz w:val="24"/>
                <w:szCs w:val="24"/>
                <w:highlight w:val="none"/>
                <w:lang w:eastAsia="zh-CN"/>
              </w:rPr>
              <w:t>订单交付</w:t>
            </w:r>
          </w:p>
        </w:tc>
        <w:tc>
          <w:tcPr>
            <w:tcW w:w="3862" w:type="dxa"/>
            <w:noWrap w:val="0"/>
            <w:vAlign w:val="center"/>
          </w:tcPr>
          <w:p>
            <w:pPr>
              <w:widowControl/>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eastAsia="zh-CN"/>
              </w:rPr>
            </w:pPr>
            <w:r>
              <w:rPr>
                <w:rFonts w:hint="eastAsia" w:ascii="Times New Roman" w:hAnsi="Times New Roman" w:cs="宋体"/>
                <w:color w:val="000000"/>
                <w:spacing w:val="0"/>
                <w:kern w:val="0"/>
                <w:sz w:val="24"/>
                <w:szCs w:val="24"/>
                <w:highlight w:val="none"/>
                <w:lang w:eastAsia="zh-CN"/>
              </w:rPr>
              <w:t>订单交付平均时间</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8" w:type="dxa"/>
            <w:vMerge w:val="continue"/>
            <w:noWrap w:val="0"/>
            <w:vAlign w:val="center"/>
          </w:tcPr>
          <w:p>
            <w:pPr>
              <w:widowControl/>
              <w:autoSpaceDE/>
              <w:autoSpaceDN/>
              <w:spacing w:line="240" w:lineRule="auto"/>
              <w:ind w:firstLine="0" w:firstLineChars="0"/>
              <w:jc w:val="center"/>
              <w:rPr>
                <w:rFonts w:hint="eastAsia" w:ascii="Times New Roman" w:hAnsi="Times New Roman" w:cs="宋体"/>
                <w:color w:val="000000"/>
                <w:spacing w:val="0"/>
                <w:kern w:val="0"/>
                <w:sz w:val="24"/>
                <w:szCs w:val="24"/>
                <w:highlight w:val="none"/>
                <w:lang w:eastAsia="zh-CN"/>
              </w:rPr>
            </w:pPr>
          </w:p>
        </w:tc>
        <w:tc>
          <w:tcPr>
            <w:tcW w:w="2429" w:type="dxa"/>
            <w:noWrap w:val="0"/>
            <w:vAlign w:val="center"/>
          </w:tcPr>
          <w:p>
            <w:pPr>
              <w:widowControl/>
              <w:autoSpaceDE/>
              <w:autoSpaceDN/>
              <w:spacing w:line="240" w:lineRule="auto"/>
              <w:ind w:firstLine="0" w:firstLineChars="0"/>
              <w:jc w:val="center"/>
              <w:rPr>
                <w:rFonts w:hint="eastAsia" w:ascii="Times New Roman" w:hAnsi="Times New Roman" w:eastAsia="仿宋_GB2312" w:cs="宋体"/>
                <w:color w:val="000000"/>
                <w:spacing w:val="0"/>
                <w:kern w:val="0"/>
                <w:sz w:val="24"/>
                <w:szCs w:val="24"/>
                <w:highlight w:val="none"/>
                <w:lang w:eastAsia="zh-CN"/>
              </w:rPr>
            </w:pPr>
            <w:r>
              <w:rPr>
                <w:rFonts w:hint="eastAsia" w:ascii="Times New Roman" w:hAnsi="Times New Roman" w:cs="宋体"/>
                <w:color w:val="000000"/>
                <w:spacing w:val="0"/>
                <w:kern w:val="0"/>
                <w:sz w:val="24"/>
                <w:szCs w:val="24"/>
                <w:highlight w:val="none"/>
                <w:lang w:eastAsia="zh-CN"/>
              </w:rPr>
              <w:t>订单准确率</w:t>
            </w:r>
          </w:p>
        </w:tc>
        <w:tc>
          <w:tcPr>
            <w:tcW w:w="3862" w:type="dxa"/>
            <w:noWrap w:val="0"/>
            <w:vAlign w:val="center"/>
          </w:tcPr>
          <w:p>
            <w:pPr>
              <w:widowControl/>
              <w:autoSpaceDE/>
              <w:autoSpaceDN/>
              <w:spacing w:line="240" w:lineRule="auto"/>
              <w:ind w:firstLine="0" w:firstLineChars="0"/>
              <w:jc w:val="both"/>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包装发货准确率</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68" w:type="dxa"/>
            <w:vMerge w:val="restart"/>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rPr>
            </w:pPr>
            <w:r>
              <w:rPr>
                <w:rFonts w:hint="default" w:ascii="Times New Roman" w:hAnsi="Times New Roman" w:cs="宋体"/>
                <w:color w:val="000000"/>
                <w:spacing w:val="0"/>
                <w:kern w:val="0"/>
                <w:sz w:val="24"/>
                <w:szCs w:val="24"/>
                <w:highlight w:val="none"/>
              </w:rPr>
              <w:t>总体成效</w:t>
            </w:r>
          </w:p>
        </w:tc>
        <w:tc>
          <w:tcPr>
            <w:tcW w:w="2429" w:type="dxa"/>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企业数字化转型水平</w:t>
            </w:r>
          </w:p>
        </w:tc>
        <w:tc>
          <w:tcPr>
            <w:tcW w:w="3862" w:type="dxa"/>
            <w:noWrap w:val="0"/>
            <w:vAlign w:val="center"/>
          </w:tcPr>
          <w:p>
            <w:pPr>
              <w:widowControl/>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试点企业数字化水平的平均等级</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68" w:type="dxa"/>
            <w:vMerge w:val="continue"/>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autoSpaceDE/>
              <w:autoSpaceDN/>
              <w:adjustRightInd/>
              <w:snapToGrid/>
              <w:spacing w:line="500" w:lineRule="exact"/>
              <w:jc w:val="center"/>
              <w:rPr>
                <w:rFonts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共性应用场景满足率</w:t>
            </w:r>
          </w:p>
        </w:tc>
        <w:tc>
          <w:tcPr>
            <w:tcW w:w="3862" w:type="dxa"/>
            <w:noWrap w:val="0"/>
            <w:vAlign w:val="center"/>
          </w:tcPr>
          <w:p>
            <w:pPr>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梳理出的共性应用场景的满足率</w:t>
            </w:r>
          </w:p>
        </w:tc>
        <w:tc>
          <w:tcPr>
            <w:tcW w:w="950" w:type="dxa"/>
            <w:noWrap w:val="0"/>
            <w:vAlign w:val="center"/>
          </w:tcPr>
          <w:p>
            <w:pPr>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68" w:type="dxa"/>
            <w:vMerge w:val="continue"/>
            <w:noWrap w:val="0"/>
            <w:vAlign w:val="center"/>
          </w:tcPr>
          <w:p>
            <w:pPr>
              <w:autoSpaceDE/>
              <w:autoSpaceDN/>
              <w:adjustRightInd/>
              <w:snapToGrid/>
              <w:spacing w:line="240" w:lineRule="auto"/>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autoSpaceDE/>
              <w:autoSpaceDN/>
              <w:adjustRightInd/>
              <w:snapToGrid/>
              <w:spacing w:line="240" w:lineRule="auto"/>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个性应用场景满足率</w:t>
            </w:r>
          </w:p>
        </w:tc>
        <w:tc>
          <w:tcPr>
            <w:tcW w:w="3862" w:type="dxa"/>
            <w:noWrap w:val="0"/>
            <w:vAlign w:val="center"/>
          </w:tcPr>
          <w:p>
            <w:pPr>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梳理出的个性应用场景的满足率</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268" w:type="dxa"/>
            <w:vMerge w:val="restart"/>
            <w:noWrap w:val="0"/>
            <w:vAlign w:val="center"/>
          </w:tcPr>
          <w:p>
            <w:pPr>
              <w:autoSpaceDE/>
              <w:autoSpaceDN/>
              <w:adjustRightInd/>
              <w:snapToGrid/>
              <w:spacing w:line="240" w:lineRule="auto"/>
              <w:jc w:val="center"/>
              <w:rPr>
                <w:rFonts w:hint="eastAsia" w:ascii="Times New Roman" w:hAnsi="Times New Roman" w:cs="宋体"/>
                <w:color w:val="000000"/>
                <w:spacing w:val="0"/>
                <w:kern w:val="0"/>
                <w:sz w:val="24"/>
                <w:szCs w:val="24"/>
                <w:highlight w:val="none"/>
              </w:rPr>
            </w:pPr>
            <w:r>
              <w:rPr>
                <w:rFonts w:hint="default" w:ascii="Times New Roman" w:hAnsi="Times New Roman" w:cs="宋体"/>
                <w:color w:val="000000"/>
                <w:spacing w:val="0"/>
                <w:kern w:val="0"/>
                <w:sz w:val="24"/>
                <w:szCs w:val="24"/>
                <w:highlight w:val="none"/>
              </w:rPr>
              <w:t>服务质量</w:t>
            </w:r>
          </w:p>
        </w:tc>
        <w:tc>
          <w:tcPr>
            <w:tcW w:w="2429" w:type="dxa"/>
            <w:noWrap w:val="0"/>
            <w:vAlign w:val="center"/>
          </w:tcPr>
          <w:p>
            <w:pPr>
              <w:autoSpaceDE/>
              <w:autoSpaceDN/>
              <w:adjustRightInd/>
              <w:snapToGrid/>
              <w:spacing w:line="240" w:lineRule="auto"/>
              <w:jc w:val="center"/>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企业满意度</w:t>
            </w:r>
          </w:p>
        </w:tc>
        <w:tc>
          <w:tcPr>
            <w:tcW w:w="3862" w:type="dxa"/>
            <w:noWrap w:val="0"/>
            <w:vAlign w:val="center"/>
          </w:tcPr>
          <w:p>
            <w:pPr>
              <w:autoSpaceDE/>
              <w:autoSpaceDN/>
              <w:adjustRightInd/>
              <w:snapToGrid/>
              <w:spacing w:line="240" w:lineRule="auto"/>
              <w:rPr>
                <w:rFonts w:hint="eastAsia" w:ascii="Times New Roman" w:hAnsi="Times New Roman" w:cs="宋体"/>
                <w:color w:val="000000"/>
                <w:spacing w:val="0"/>
                <w:kern w:val="0"/>
                <w:sz w:val="24"/>
                <w:szCs w:val="24"/>
                <w:highlight w:val="none"/>
              </w:rPr>
            </w:pPr>
            <w:r>
              <w:rPr>
                <w:rFonts w:hint="eastAsia" w:ascii="Times New Roman" w:hAnsi="Times New Roman" w:cs="宋体"/>
                <w:color w:val="000000"/>
                <w:spacing w:val="0"/>
                <w:kern w:val="0"/>
                <w:sz w:val="24"/>
                <w:szCs w:val="24"/>
                <w:highlight w:val="none"/>
              </w:rPr>
              <w:t>试点企业对数字化改造总体满意度</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68" w:type="dxa"/>
            <w:vMerge w:val="continue"/>
            <w:noWrap w:val="0"/>
            <w:vAlign w:val="center"/>
          </w:tcPr>
          <w:p>
            <w:pPr>
              <w:autoSpaceDE/>
              <w:autoSpaceDN/>
              <w:adjustRightInd/>
              <w:snapToGrid/>
              <w:spacing w:line="240" w:lineRule="auto"/>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autoSpaceDE/>
              <w:autoSpaceDN/>
              <w:adjustRightInd/>
              <w:snapToGrid/>
              <w:spacing w:line="240" w:lineRule="auto"/>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培训覆盖率</w:t>
            </w:r>
          </w:p>
        </w:tc>
        <w:tc>
          <w:tcPr>
            <w:tcW w:w="3862" w:type="dxa"/>
            <w:noWrap w:val="0"/>
            <w:vAlign w:val="center"/>
          </w:tcPr>
          <w:p>
            <w:pPr>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操作人员应知应会培训的覆盖率</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68" w:type="dxa"/>
            <w:vMerge w:val="continue"/>
            <w:noWrap w:val="0"/>
            <w:vAlign w:val="center"/>
          </w:tcPr>
          <w:p>
            <w:pPr>
              <w:autoSpaceDE/>
              <w:autoSpaceDN/>
              <w:adjustRightInd/>
              <w:snapToGrid/>
              <w:spacing w:line="240" w:lineRule="auto"/>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autoSpaceDE/>
              <w:autoSpaceDN/>
              <w:adjustRightInd/>
              <w:snapToGrid/>
              <w:spacing w:line="240" w:lineRule="auto"/>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服务响应速度</w:t>
            </w:r>
          </w:p>
        </w:tc>
        <w:tc>
          <w:tcPr>
            <w:tcW w:w="3862" w:type="dxa"/>
            <w:noWrap w:val="0"/>
            <w:vAlign w:val="center"/>
          </w:tcPr>
          <w:p>
            <w:pPr>
              <w:autoSpaceDE/>
              <w:autoSpaceDN/>
              <w:adjustRightInd/>
              <w:snapToGrid/>
              <w:spacing w:line="240" w:lineRule="auto"/>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服务平台的服务响应速度</w:t>
            </w:r>
          </w:p>
        </w:tc>
        <w:tc>
          <w:tcPr>
            <w:tcW w:w="950"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widowControl/>
              <w:autoSpaceDE/>
              <w:autoSpaceDN/>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8" w:type="dxa"/>
            <w:vMerge w:val="continue"/>
            <w:noWrap w:val="0"/>
            <w:vAlign w:val="center"/>
          </w:tcPr>
          <w:p>
            <w:pPr>
              <w:autoSpaceDE/>
              <w:autoSpaceDN/>
              <w:adjustRightInd/>
              <w:snapToGrid/>
              <w:spacing w:line="500" w:lineRule="exact"/>
              <w:jc w:val="center"/>
              <w:rPr>
                <w:rFonts w:hint="eastAsia" w:ascii="Times New Roman" w:hAnsi="Times New Roman" w:cs="宋体"/>
                <w:color w:val="000000"/>
                <w:spacing w:val="0"/>
                <w:kern w:val="0"/>
                <w:sz w:val="24"/>
                <w:szCs w:val="24"/>
                <w:highlight w:val="none"/>
              </w:rPr>
            </w:pPr>
          </w:p>
        </w:tc>
        <w:tc>
          <w:tcPr>
            <w:tcW w:w="2429" w:type="dxa"/>
            <w:noWrap w:val="0"/>
            <w:vAlign w:val="center"/>
          </w:tcPr>
          <w:p>
            <w:pPr>
              <w:autoSpaceDE/>
              <w:autoSpaceDN/>
              <w:adjustRightInd/>
              <w:snapToGrid/>
              <w:spacing w:line="500" w:lineRule="exact"/>
              <w:jc w:val="center"/>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质保期限</w:t>
            </w:r>
          </w:p>
        </w:tc>
        <w:tc>
          <w:tcPr>
            <w:tcW w:w="3862" w:type="dxa"/>
            <w:noWrap w:val="0"/>
            <w:vAlign w:val="center"/>
          </w:tcPr>
          <w:p>
            <w:pPr>
              <w:autoSpaceDE/>
              <w:autoSpaceDN/>
              <w:adjustRightInd/>
              <w:snapToGrid/>
              <w:spacing w:line="500" w:lineRule="exact"/>
              <w:jc w:val="left"/>
              <w:rPr>
                <w:rFonts w:hint="eastAsia" w:ascii="Times New Roman" w:hAnsi="Times New Roman" w:eastAsia="仿宋_GB2312" w:cs="宋体"/>
                <w:color w:val="000000"/>
                <w:spacing w:val="0"/>
                <w:kern w:val="0"/>
                <w:sz w:val="24"/>
                <w:szCs w:val="24"/>
                <w:highlight w:val="none"/>
                <w:lang w:val="en-US" w:eastAsia="zh-CN" w:bidi="ar-SA"/>
              </w:rPr>
            </w:pPr>
            <w:r>
              <w:rPr>
                <w:rFonts w:hint="eastAsia" w:ascii="Times New Roman" w:hAnsi="Times New Roman" w:cs="宋体"/>
                <w:color w:val="000000"/>
                <w:spacing w:val="0"/>
                <w:kern w:val="0"/>
                <w:sz w:val="24"/>
                <w:szCs w:val="24"/>
                <w:highlight w:val="none"/>
              </w:rPr>
              <w:t>质保年限</w:t>
            </w:r>
          </w:p>
        </w:tc>
        <w:tc>
          <w:tcPr>
            <w:tcW w:w="950" w:type="dxa"/>
            <w:noWrap w:val="0"/>
            <w:vAlign w:val="center"/>
          </w:tcPr>
          <w:p>
            <w:pPr>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c>
          <w:tcPr>
            <w:tcW w:w="942" w:type="dxa"/>
            <w:noWrap w:val="0"/>
            <w:vAlign w:val="center"/>
          </w:tcPr>
          <w:p>
            <w:pPr>
              <w:adjustRightInd/>
              <w:snapToGrid/>
              <w:spacing w:line="240" w:lineRule="auto"/>
              <w:jc w:val="center"/>
              <w:rPr>
                <w:rFonts w:ascii="Times New Roman" w:hAnsi="Times New Roman" w:eastAsia="仿宋_GB2312" w:cs="宋体"/>
                <w:color w:val="000000"/>
                <w:spacing w:val="0"/>
                <w:kern w:val="0"/>
                <w:sz w:val="24"/>
                <w:szCs w:val="24"/>
                <w:highlight w:val="none"/>
                <w:lang w:val="en-US" w:eastAsia="zh-CN" w:bidi="ar-SA"/>
              </w:rPr>
            </w:pPr>
          </w:p>
        </w:tc>
      </w:tr>
    </w:tbl>
    <w:p>
      <w:pPr>
        <w:pStyle w:val="2"/>
        <w:tabs>
          <w:tab w:val="left" w:pos="5220"/>
        </w:tabs>
        <w:adjustRightInd/>
        <w:snapToGrid/>
        <w:spacing w:line="240" w:lineRule="auto"/>
        <w:jc w:val="left"/>
        <w:rPr>
          <w:rFonts w:hint="eastAsia" w:ascii="Times New Roman" w:hAnsi="Times New Roman"/>
          <w:color w:val="000000"/>
          <w:highlight w:val="none"/>
        </w:rPr>
      </w:pPr>
      <w:r>
        <w:rPr>
          <w:rFonts w:hint="eastAsia" w:ascii="Times New Roman" w:hAnsi="Times New Roman" w:cs="宋体"/>
          <w:color w:val="000000"/>
          <w:spacing w:val="0"/>
          <w:kern w:val="0"/>
          <w:sz w:val="24"/>
          <w:highlight w:val="none"/>
        </w:rPr>
        <w:t>注：</w:t>
      </w:r>
      <w:r>
        <w:rPr>
          <w:rFonts w:hint="eastAsia" w:ascii="Times New Roman" w:hAnsi="Times New Roman" w:cs="宋体"/>
          <w:color w:val="000000"/>
          <w:spacing w:val="0"/>
          <w:kern w:val="0"/>
          <w:sz w:val="24"/>
          <w:highlight w:val="none"/>
          <w:lang w:eastAsia="zh-CN"/>
        </w:rPr>
        <w:t>若不存在期初值，则为空。</w:t>
      </w:r>
      <w:r>
        <w:rPr>
          <w:rFonts w:hint="eastAsia" w:ascii="Times New Roman" w:hAnsi="Times New Roman" w:cs="宋体"/>
          <w:color w:val="000000"/>
          <w:spacing w:val="0"/>
          <w:kern w:val="0"/>
          <w:sz w:val="24"/>
          <w:highlight w:val="none"/>
        </w:rPr>
        <w:t>中小企业数字化水平等级根据《</w:t>
      </w:r>
      <w:r>
        <w:rPr>
          <w:rFonts w:hint="eastAsia" w:ascii="Times New Roman" w:hAnsi="Times New Roman" w:cs="宋体"/>
          <w:color w:val="000000"/>
          <w:spacing w:val="0"/>
          <w:kern w:val="0"/>
          <w:sz w:val="24"/>
          <w:highlight w:val="none"/>
          <w:lang w:eastAsia="zh-CN"/>
        </w:rPr>
        <w:t>工业和信息化部办公厅关于发布</w:t>
      </w:r>
      <w:r>
        <w:rPr>
          <w:rFonts w:hint="eastAsia" w:ascii="Times New Roman" w:hAnsi="Times New Roman" w:cs="宋体"/>
          <w:color w:val="000000"/>
          <w:spacing w:val="0"/>
          <w:kern w:val="0"/>
          <w:sz w:val="24"/>
          <w:highlight w:val="none"/>
        </w:rPr>
        <w:t>中小企业数字化水平评测</w:t>
      </w:r>
      <w:r>
        <w:rPr>
          <w:rFonts w:hint="eastAsia" w:ascii="Times New Roman" w:hAnsi="Times New Roman" w:cs="宋体"/>
          <w:color w:val="000000"/>
          <w:spacing w:val="0"/>
          <w:kern w:val="0"/>
          <w:sz w:val="24"/>
          <w:highlight w:val="none"/>
          <w:lang w:eastAsia="zh-CN"/>
        </w:rPr>
        <w:t>指标（</w:t>
      </w:r>
      <w:r>
        <w:rPr>
          <w:rFonts w:hint="eastAsia" w:ascii="Times New Roman" w:hAnsi="Times New Roman" w:cs="宋体"/>
          <w:color w:val="000000"/>
          <w:spacing w:val="0"/>
          <w:kern w:val="0"/>
          <w:sz w:val="24"/>
          <w:highlight w:val="none"/>
          <w:lang w:val="en-US" w:eastAsia="zh-CN"/>
        </w:rPr>
        <w:t>2022年版</w:t>
      </w:r>
      <w:r>
        <w:rPr>
          <w:rFonts w:hint="eastAsia" w:ascii="Times New Roman" w:hAnsi="Times New Roman" w:cs="宋体"/>
          <w:color w:val="000000"/>
          <w:spacing w:val="0"/>
          <w:kern w:val="0"/>
          <w:sz w:val="24"/>
          <w:highlight w:val="none"/>
          <w:lang w:eastAsia="zh-CN"/>
        </w:rPr>
        <w:t>）的通知</w:t>
      </w:r>
      <w:r>
        <w:rPr>
          <w:rFonts w:hint="eastAsia" w:ascii="Times New Roman" w:hAnsi="Times New Roman" w:cs="宋体"/>
          <w:color w:val="000000"/>
          <w:spacing w:val="0"/>
          <w:kern w:val="0"/>
          <w:sz w:val="24"/>
          <w:highlight w:val="none"/>
        </w:rPr>
        <w:t>》</w:t>
      </w:r>
      <w:r>
        <w:rPr>
          <w:rFonts w:hint="eastAsia" w:ascii="Times New Roman" w:hAnsi="Times New Roman" w:cs="宋体"/>
          <w:color w:val="000000"/>
          <w:spacing w:val="0"/>
          <w:kern w:val="0"/>
          <w:sz w:val="24"/>
          <w:highlight w:val="none"/>
          <w:lang w:eastAsia="zh-CN"/>
        </w:rPr>
        <w:t>（工信厅企业〔</w:t>
      </w:r>
      <w:r>
        <w:rPr>
          <w:rFonts w:hint="eastAsia" w:ascii="Times New Roman" w:hAnsi="Times New Roman" w:cs="宋体"/>
          <w:color w:val="000000"/>
          <w:spacing w:val="0"/>
          <w:kern w:val="0"/>
          <w:sz w:val="24"/>
          <w:highlight w:val="none"/>
          <w:lang w:val="en-US" w:eastAsia="zh-CN"/>
        </w:rPr>
        <w:t>2022</w:t>
      </w:r>
      <w:r>
        <w:rPr>
          <w:rFonts w:hint="eastAsia" w:ascii="Times New Roman" w:hAnsi="Times New Roman" w:cs="宋体"/>
          <w:color w:val="000000"/>
          <w:spacing w:val="0"/>
          <w:kern w:val="0"/>
          <w:sz w:val="24"/>
          <w:highlight w:val="none"/>
          <w:lang w:eastAsia="zh-CN"/>
        </w:rPr>
        <w:t>〕</w:t>
      </w:r>
      <w:r>
        <w:rPr>
          <w:rFonts w:hint="eastAsia" w:ascii="Times New Roman" w:hAnsi="Times New Roman" w:cs="宋体"/>
          <w:color w:val="000000"/>
          <w:spacing w:val="0"/>
          <w:kern w:val="0"/>
          <w:sz w:val="24"/>
          <w:highlight w:val="none"/>
          <w:lang w:val="en-US" w:eastAsia="zh-CN"/>
        </w:rPr>
        <w:t>32号</w:t>
      </w:r>
      <w:r>
        <w:rPr>
          <w:rFonts w:hint="eastAsia" w:ascii="Times New Roman" w:hAnsi="Times New Roman" w:cs="宋体"/>
          <w:color w:val="000000"/>
          <w:spacing w:val="0"/>
          <w:kern w:val="0"/>
          <w:sz w:val="24"/>
          <w:highlight w:val="none"/>
          <w:lang w:eastAsia="zh-CN"/>
        </w:rPr>
        <w:t>）</w:t>
      </w:r>
      <w:r>
        <w:rPr>
          <w:rFonts w:hint="eastAsia" w:ascii="Times New Roman" w:hAnsi="Times New Roman" w:cs="宋体"/>
          <w:color w:val="000000"/>
          <w:spacing w:val="0"/>
          <w:kern w:val="0"/>
          <w:sz w:val="24"/>
          <w:highlight w:val="none"/>
        </w:rPr>
        <w:t>开展，得出评测结果。</w:t>
      </w:r>
    </w:p>
    <w:p>
      <w:pPr>
        <w:pStyle w:val="7"/>
        <w:ind w:left="0" w:leftChars="0" w:firstLine="0" w:firstLineChars="0"/>
        <w:rPr>
          <w:rFonts w:hint="eastAsia"/>
        </w:rPr>
      </w:pPr>
    </w:p>
    <w:sectPr>
      <w:headerReference r:id="rId4" w:type="default"/>
      <w:footerReference r:id="rId5" w:type="default"/>
      <w:pgSz w:w="11906" w:h="16838"/>
      <w:pgMar w:top="1440" w:right="1797" w:bottom="1440" w:left="179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695D0"/>
    <w:multiLevelType w:val="singleLevel"/>
    <w:tmpl w:val="77F695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F32A8"/>
    <w:rsid w:val="01CE27A8"/>
    <w:rsid w:val="021C54C6"/>
    <w:rsid w:val="06D271A7"/>
    <w:rsid w:val="070C00B2"/>
    <w:rsid w:val="08817174"/>
    <w:rsid w:val="08C735E8"/>
    <w:rsid w:val="08ED7584"/>
    <w:rsid w:val="0ADF275A"/>
    <w:rsid w:val="0CCD0B08"/>
    <w:rsid w:val="0CD27896"/>
    <w:rsid w:val="0D7F7399"/>
    <w:rsid w:val="0DAD7D51"/>
    <w:rsid w:val="0E322EF3"/>
    <w:rsid w:val="0E3B3E8E"/>
    <w:rsid w:val="0EFA064D"/>
    <w:rsid w:val="10AB5704"/>
    <w:rsid w:val="1363264B"/>
    <w:rsid w:val="15ED756D"/>
    <w:rsid w:val="19BB2248"/>
    <w:rsid w:val="1C017C2B"/>
    <w:rsid w:val="1C8A0EC3"/>
    <w:rsid w:val="1CEF7213"/>
    <w:rsid w:val="1DEF6EB0"/>
    <w:rsid w:val="1E7417C3"/>
    <w:rsid w:val="1EF02923"/>
    <w:rsid w:val="1EFB43AF"/>
    <w:rsid w:val="1F2A0B11"/>
    <w:rsid w:val="1F654171"/>
    <w:rsid w:val="1FDE1D9D"/>
    <w:rsid w:val="218F2E16"/>
    <w:rsid w:val="21E450AC"/>
    <w:rsid w:val="22DA73F9"/>
    <w:rsid w:val="23333299"/>
    <w:rsid w:val="23AC5BA2"/>
    <w:rsid w:val="23E44C2D"/>
    <w:rsid w:val="24103F0A"/>
    <w:rsid w:val="246F398B"/>
    <w:rsid w:val="24EB7D55"/>
    <w:rsid w:val="25622819"/>
    <w:rsid w:val="25AF286A"/>
    <w:rsid w:val="25D6184A"/>
    <w:rsid w:val="26CD43DA"/>
    <w:rsid w:val="28D977E9"/>
    <w:rsid w:val="2ABED906"/>
    <w:rsid w:val="2B5B5FEE"/>
    <w:rsid w:val="2CBD27A8"/>
    <w:rsid w:val="2CF5736C"/>
    <w:rsid w:val="2DBA44CC"/>
    <w:rsid w:val="2DD6BBB2"/>
    <w:rsid w:val="2DF00E70"/>
    <w:rsid w:val="2E634612"/>
    <w:rsid w:val="2F2D0F81"/>
    <w:rsid w:val="302A088B"/>
    <w:rsid w:val="30AF32A8"/>
    <w:rsid w:val="34621C58"/>
    <w:rsid w:val="34673932"/>
    <w:rsid w:val="34807223"/>
    <w:rsid w:val="34850E26"/>
    <w:rsid w:val="34E02994"/>
    <w:rsid w:val="350608D4"/>
    <w:rsid w:val="3561432D"/>
    <w:rsid w:val="36460763"/>
    <w:rsid w:val="366839BD"/>
    <w:rsid w:val="378251C7"/>
    <w:rsid w:val="3AB366A2"/>
    <w:rsid w:val="3B0F5AA2"/>
    <w:rsid w:val="3BBF5367"/>
    <w:rsid w:val="3BF7BEB2"/>
    <w:rsid w:val="3C3B2B67"/>
    <w:rsid w:val="3D907D70"/>
    <w:rsid w:val="3DED9813"/>
    <w:rsid w:val="3E54352B"/>
    <w:rsid w:val="3F2707AC"/>
    <w:rsid w:val="3FDF735E"/>
    <w:rsid w:val="411C5620"/>
    <w:rsid w:val="4187082F"/>
    <w:rsid w:val="428D09D1"/>
    <w:rsid w:val="44A94C60"/>
    <w:rsid w:val="45AA0F97"/>
    <w:rsid w:val="45C553BF"/>
    <w:rsid w:val="46CF27F5"/>
    <w:rsid w:val="4AD204CD"/>
    <w:rsid w:val="4AE67731"/>
    <w:rsid w:val="4BC3056D"/>
    <w:rsid w:val="4C550BD9"/>
    <w:rsid w:val="4D3158CA"/>
    <w:rsid w:val="4E0548F4"/>
    <w:rsid w:val="4FDF2C11"/>
    <w:rsid w:val="50865E77"/>
    <w:rsid w:val="50ED5A9E"/>
    <w:rsid w:val="511059E5"/>
    <w:rsid w:val="516845E1"/>
    <w:rsid w:val="518A6370"/>
    <w:rsid w:val="51E37915"/>
    <w:rsid w:val="52147534"/>
    <w:rsid w:val="523D4A13"/>
    <w:rsid w:val="52610C9D"/>
    <w:rsid w:val="53786742"/>
    <w:rsid w:val="559B2728"/>
    <w:rsid w:val="58432A9E"/>
    <w:rsid w:val="58AE303E"/>
    <w:rsid w:val="5A8C0766"/>
    <w:rsid w:val="5B0C6C85"/>
    <w:rsid w:val="5B31106A"/>
    <w:rsid w:val="5B535EE1"/>
    <w:rsid w:val="5B8452F8"/>
    <w:rsid w:val="5BBEAD06"/>
    <w:rsid w:val="5C0554A2"/>
    <w:rsid w:val="5CC779BB"/>
    <w:rsid w:val="5D043607"/>
    <w:rsid w:val="5D677120"/>
    <w:rsid w:val="5D813110"/>
    <w:rsid w:val="5EDA13A2"/>
    <w:rsid w:val="5F7A9B4E"/>
    <w:rsid w:val="5FBF4698"/>
    <w:rsid w:val="5FFE0297"/>
    <w:rsid w:val="5FFF39C8"/>
    <w:rsid w:val="6164385B"/>
    <w:rsid w:val="63C80BDD"/>
    <w:rsid w:val="648868DF"/>
    <w:rsid w:val="665A2371"/>
    <w:rsid w:val="669D1FAD"/>
    <w:rsid w:val="68762877"/>
    <w:rsid w:val="69035475"/>
    <w:rsid w:val="6A4C0CB5"/>
    <w:rsid w:val="6C504DB1"/>
    <w:rsid w:val="6D67187E"/>
    <w:rsid w:val="6DD9263E"/>
    <w:rsid w:val="6FDC0E1D"/>
    <w:rsid w:val="703B3D67"/>
    <w:rsid w:val="71F642AF"/>
    <w:rsid w:val="73D54A83"/>
    <w:rsid w:val="74E0199B"/>
    <w:rsid w:val="75787C41"/>
    <w:rsid w:val="75B82316"/>
    <w:rsid w:val="76BE3162"/>
    <w:rsid w:val="774B5646"/>
    <w:rsid w:val="77B00802"/>
    <w:rsid w:val="77BD0630"/>
    <w:rsid w:val="77FB4FAA"/>
    <w:rsid w:val="78224FC9"/>
    <w:rsid w:val="79273577"/>
    <w:rsid w:val="797A67FA"/>
    <w:rsid w:val="79E56A28"/>
    <w:rsid w:val="7B992451"/>
    <w:rsid w:val="7BAB2CDC"/>
    <w:rsid w:val="7BE39D12"/>
    <w:rsid w:val="7BF364EF"/>
    <w:rsid w:val="7C237522"/>
    <w:rsid w:val="7C6C35FC"/>
    <w:rsid w:val="7CD77FA8"/>
    <w:rsid w:val="7D993D1E"/>
    <w:rsid w:val="7DBF6381"/>
    <w:rsid w:val="7E001E6B"/>
    <w:rsid w:val="7ED70C22"/>
    <w:rsid w:val="7EFF107A"/>
    <w:rsid w:val="7F7DCD31"/>
    <w:rsid w:val="7FFDB36A"/>
    <w:rsid w:val="93F7A859"/>
    <w:rsid w:val="9AAF3C9B"/>
    <w:rsid w:val="A6FF0505"/>
    <w:rsid w:val="AF7F86AE"/>
    <w:rsid w:val="AFE1E0F1"/>
    <w:rsid w:val="B9FFA45C"/>
    <w:rsid w:val="BDBF3A91"/>
    <w:rsid w:val="BE3C5BEB"/>
    <w:rsid w:val="BFF0312D"/>
    <w:rsid w:val="BFFF6123"/>
    <w:rsid w:val="CBFF1B84"/>
    <w:rsid w:val="CF1F0587"/>
    <w:rsid w:val="D5E7B995"/>
    <w:rsid w:val="D8DE5483"/>
    <w:rsid w:val="DDF3CB60"/>
    <w:rsid w:val="DFFBAB5F"/>
    <w:rsid w:val="E77FACEB"/>
    <w:rsid w:val="EBD62DB7"/>
    <w:rsid w:val="EEDF1DC9"/>
    <w:rsid w:val="F51A3C00"/>
    <w:rsid w:val="F7BA79B9"/>
    <w:rsid w:val="F98C4A05"/>
    <w:rsid w:val="FBAB96E5"/>
    <w:rsid w:val="FBD048D6"/>
    <w:rsid w:val="FCBBF420"/>
    <w:rsid w:val="FDFD4D60"/>
    <w:rsid w:val="FEF72D93"/>
    <w:rsid w:val="FF654AF9"/>
    <w:rsid w:val="FF9BC666"/>
    <w:rsid w:val="FFCA415B"/>
    <w:rsid w:val="FFFF2C8A"/>
    <w:rsid w:val="FFFFA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table of authorities"/>
    <w:basedOn w:val="1"/>
    <w:next w:val="1"/>
    <w:qFormat/>
    <w:uiPriority w:val="0"/>
  </w:style>
  <w:style w:type="paragraph" w:styleId="4">
    <w:name w:val="index 5"/>
    <w:basedOn w:val="1"/>
    <w:next w:val="1"/>
    <w:qFormat/>
    <w:uiPriority w:val="0"/>
    <w:pPr>
      <w:ind w:left="1680"/>
    </w:pPr>
    <w:rPr>
      <w:rFonts w:ascii="Times New Roman" w:hAnsi="Times New Roman" w:eastAsia="仿宋_GB2312" w:cs="Times New Roman"/>
    </w:rPr>
  </w:style>
  <w:style w:type="paragraph" w:styleId="5">
    <w:name w:val="Body Text Indent"/>
    <w:basedOn w:val="1"/>
    <w:next w:val="4"/>
    <w:qFormat/>
    <w:uiPriority w:val="0"/>
    <w:pPr>
      <w:spacing w:line="240" w:lineRule="atLeast"/>
      <w:ind w:right="51" w:firstLine="480"/>
    </w:pPr>
    <w:rPr>
      <w:rFonts w:ascii="宋体" w:hAnsi="宋体" w:eastAsia="宋体"/>
      <w:color w:val="000000"/>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spacing w:after="120" w:line="240" w:lineRule="auto"/>
      <w:ind w:left="420" w:leftChars="200" w:right="0" w:firstLine="420" w:firstLineChars="200"/>
    </w:pPr>
    <w:rPr>
      <w:kern w:val="2"/>
      <w:sz w:val="21"/>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5">
    <w:name w:val="font41"/>
    <w:qFormat/>
    <w:uiPriority w:val="0"/>
    <w:rPr>
      <w:rFonts w:hint="eastAsia" w:ascii="仿宋_GB2312" w:eastAsia="仿宋_GB2312" w:cs="仿宋_GB2312"/>
      <w:color w:val="000000"/>
      <w:sz w:val="24"/>
      <w:szCs w:val="24"/>
      <w:u w:val="none"/>
    </w:rPr>
  </w:style>
  <w:style w:type="character" w:customStyle="1" w:styleId="16">
    <w:name w:val="font91"/>
    <w:qFormat/>
    <w:uiPriority w:val="0"/>
    <w:rPr>
      <w:rFonts w:ascii="方正隶书_GBK" w:hAnsi="方正隶书_GBK" w:eastAsia="方正隶书_GBK" w:cs="方正隶书_GBK"/>
      <w:color w:val="000000"/>
      <w:sz w:val="24"/>
      <w:szCs w:val="24"/>
      <w:u w:val="none"/>
    </w:rPr>
  </w:style>
  <w:style w:type="character" w:customStyle="1" w:styleId="17">
    <w:name w:val="font81"/>
    <w:qFormat/>
    <w:uiPriority w:val="0"/>
    <w:rPr>
      <w:rFonts w:hint="eastAsia" w:ascii="仿宋_GB2312" w:eastAsia="仿宋_GB2312" w:cs="仿宋_GB2312"/>
      <w:color w:val="000000"/>
      <w:sz w:val="22"/>
      <w:szCs w:val="22"/>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 w:type="character" w:customStyle="1" w:styleId="19">
    <w:name w:val="font0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2019-09-03T03:17:00Z</dcterms:created>
  <dc:creator>Administrator</dc:creator>
  <cp:lastModifiedBy>有贼心有贼胆</cp:lastModifiedBy>
  <cp:lastPrinted>2022-06-06T06:40:00Z</cp:lastPrinted>
  <dcterms:modified xsi:type="dcterms:W3CDTF">2023-03-28T06:33:30Z</dcterms:modified>
  <dc:title>2019年自治区“专精特新”企业培育工程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