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仿宋" w:eastAsia="方正小标宋简体"/>
          <w:spacing w:val="-4"/>
          <w:sz w:val="44"/>
          <w:szCs w:val="44"/>
        </w:rPr>
      </w:pPr>
      <w:r>
        <w:rPr>
          <w:rFonts w:hint="eastAsia" w:ascii="方正小标宋简体" w:hAnsi="仿宋" w:eastAsia="方正小标宋简体"/>
          <w:spacing w:val="-4"/>
          <w:sz w:val="44"/>
          <w:szCs w:val="44"/>
        </w:rPr>
        <w:t>202</w:t>
      </w:r>
      <w:r>
        <w:rPr>
          <w:rFonts w:hint="eastAsia" w:ascii="方正小标宋简体" w:hAnsi="仿宋" w:eastAsia="方正小标宋简体"/>
          <w:spacing w:val="-4"/>
          <w:sz w:val="44"/>
          <w:szCs w:val="44"/>
          <w:lang w:val="en-US" w:eastAsia="zh-CN"/>
        </w:rPr>
        <w:t>3</w:t>
      </w:r>
      <w:r>
        <w:rPr>
          <w:rFonts w:hint="eastAsia" w:ascii="方正小标宋简体" w:hAnsi="仿宋" w:eastAsia="方正小标宋简体"/>
          <w:spacing w:val="-4"/>
          <w:sz w:val="44"/>
          <w:szCs w:val="44"/>
        </w:rPr>
        <w:t>年自治区仿制药质量和疗效</w:t>
      </w:r>
    </w:p>
    <w:p>
      <w:pPr>
        <w:spacing w:line="600" w:lineRule="exact"/>
        <w:jc w:val="center"/>
        <w:rPr>
          <w:rFonts w:ascii="方正小标宋简体" w:hAnsi="仿宋" w:eastAsia="方正小标宋简体"/>
          <w:spacing w:val="-4"/>
          <w:sz w:val="44"/>
          <w:szCs w:val="44"/>
        </w:rPr>
      </w:pPr>
      <w:r>
        <w:rPr>
          <w:rFonts w:hint="eastAsia" w:ascii="方正小标宋简体" w:hAnsi="仿宋" w:eastAsia="方正小标宋简体"/>
          <w:spacing w:val="-4"/>
          <w:sz w:val="44"/>
          <w:szCs w:val="44"/>
        </w:rPr>
        <w:t>一致性评价项目申报指南</w:t>
      </w:r>
    </w:p>
    <w:p>
      <w:pPr>
        <w:spacing w:line="600" w:lineRule="exact"/>
        <w:jc w:val="center"/>
        <w:rPr>
          <w:rFonts w:ascii="方正小标宋简体" w:hAnsi="仿宋" w:eastAsia="方正小标宋简体"/>
          <w:spacing w:val="-4"/>
          <w:sz w:val="44"/>
          <w:szCs w:val="44"/>
        </w:rPr>
      </w:pP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一、支持方向</w:t>
      </w:r>
    </w:p>
    <w:p>
      <w:pPr>
        <w:spacing w:line="600" w:lineRule="exact"/>
        <w:ind w:firstLine="624" w:firstLineChars="200"/>
        <w:jc w:val="left"/>
        <w:rPr>
          <w:rFonts w:ascii="仿宋" w:hAnsi="仿宋" w:eastAsia="仿宋"/>
          <w:sz w:val="32"/>
          <w:szCs w:val="32"/>
        </w:rPr>
      </w:pPr>
      <w:r>
        <w:rPr>
          <w:rFonts w:hint="eastAsia" w:ascii="仿宋" w:hAnsi="仿宋" w:eastAsia="仿宋"/>
          <w:spacing w:val="-4"/>
          <w:sz w:val="32"/>
          <w:szCs w:val="32"/>
        </w:rPr>
        <w:t>重点支持医药企业开展仿制药质量和疗效一致性评价工作，加快区内仿制药发展进程。</w:t>
      </w:r>
      <w:r>
        <w:rPr>
          <w:rFonts w:ascii="仿宋" w:hAnsi="仿宋" w:eastAsia="仿宋"/>
          <w:sz w:val="32"/>
          <w:szCs w:val="32"/>
        </w:rPr>
        <w:t xml:space="preserve"> </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二、申报资格及条件</w:t>
      </w:r>
    </w:p>
    <w:p>
      <w:pPr>
        <w:spacing w:line="600" w:lineRule="exact"/>
        <w:ind w:firstLine="640" w:firstLineChars="200"/>
        <w:jc w:val="left"/>
        <w:rPr>
          <w:rFonts w:hint="eastAsia" w:ascii="仿宋" w:hAnsi="仿宋" w:eastAsia="仿宋" w:cs="楷体"/>
          <w:bCs/>
          <w:sz w:val="32"/>
          <w:szCs w:val="32"/>
          <w:lang w:eastAsia="zh-CN"/>
        </w:rPr>
      </w:pPr>
      <w:r>
        <w:rPr>
          <w:rFonts w:hint="eastAsia" w:ascii="仿宋" w:hAnsi="仿宋" w:eastAsia="仿宋" w:cs="楷体"/>
          <w:bCs/>
          <w:sz w:val="32"/>
          <w:szCs w:val="32"/>
        </w:rPr>
        <w:t>（一）在我区注册的医药企业</w:t>
      </w:r>
      <w:r>
        <w:rPr>
          <w:rFonts w:hint="eastAsia" w:ascii="仿宋" w:hAnsi="仿宋" w:eastAsia="仿宋" w:cs="楷体"/>
          <w:bCs/>
          <w:sz w:val="32"/>
          <w:szCs w:val="32"/>
          <w:lang w:eastAsia="zh-CN"/>
        </w:rPr>
        <w:t>；</w:t>
      </w:r>
    </w:p>
    <w:p>
      <w:pPr>
        <w:spacing w:line="600" w:lineRule="exact"/>
        <w:ind w:firstLine="640" w:firstLineChars="200"/>
        <w:jc w:val="left"/>
        <w:rPr>
          <w:rFonts w:hint="eastAsia" w:ascii="仿宋" w:hAnsi="仿宋" w:eastAsia="仿宋" w:cs="楷体"/>
          <w:bCs/>
          <w:sz w:val="32"/>
          <w:szCs w:val="32"/>
          <w:lang w:eastAsia="zh-CN"/>
        </w:rPr>
      </w:pPr>
      <w:r>
        <w:rPr>
          <w:rFonts w:hint="eastAsia" w:ascii="仿宋" w:hAnsi="仿宋" w:eastAsia="仿宋" w:cs="楷体"/>
          <w:bCs/>
          <w:sz w:val="32"/>
          <w:szCs w:val="32"/>
        </w:rPr>
        <w:t>（二）无违法、违纪、违规行为，近两年内未发生过重大环境污染事件或安全生产事故</w:t>
      </w:r>
      <w:r>
        <w:rPr>
          <w:rFonts w:hint="eastAsia" w:ascii="仿宋" w:hAnsi="仿宋" w:eastAsia="仿宋" w:cs="楷体"/>
          <w:bCs/>
          <w:sz w:val="32"/>
          <w:szCs w:val="32"/>
          <w:lang w:eastAsia="zh-CN"/>
        </w:rPr>
        <w:t>；</w:t>
      </w:r>
    </w:p>
    <w:p>
      <w:pPr>
        <w:spacing w:line="600" w:lineRule="exact"/>
        <w:ind w:firstLine="640" w:firstLineChars="200"/>
        <w:jc w:val="left"/>
        <w:rPr>
          <w:rFonts w:ascii="仿宋" w:hAnsi="仿宋" w:eastAsia="仿宋" w:cs="楷体"/>
          <w:bCs/>
          <w:sz w:val="32"/>
          <w:szCs w:val="32"/>
        </w:rPr>
      </w:pPr>
      <w:r>
        <w:rPr>
          <w:rFonts w:hint="eastAsia" w:ascii="仿宋" w:hAnsi="仿宋" w:eastAsia="仿宋" w:cs="楷体"/>
          <w:bCs/>
          <w:sz w:val="32"/>
          <w:szCs w:val="32"/>
        </w:rPr>
        <w:t>（三）已启动仿制药质量和疗效一致性评价，且达到支持节点的企业。</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、申报材料</w:t>
      </w:r>
    </w:p>
    <w:p>
      <w:pPr>
        <w:spacing w:line="600" w:lineRule="exact"/>
        <w:ind w:firstLine="640" w:firstLineChars="200"/>
        <w:jc w:val="left"/>
        <w:rPr>
          <w:rFonts w:hint="eastAsia" w:ascii="仿宋" w:hAnsi="仿宋" w:eastAsia="仿宋" w:cs="楷体"/>
          <w:bCs/>
          <w:sz w:val="32"/>
          <w:szCs w:val="32"/>
          <w:lang w:eastAsia="zh-CN"/>
        </w:rPr>
      </w:pPr>
      <w:r>
        <w:rPr>
          <w:rFonts w:hint="eastAsia" w:ascii="仿宋" w:hAnsi="仿宋" w:eastAsia="仿宋" w:cs="楷体"/>
          <w:bCs/>
          <w:sz w:val="32"/>
          <w:szCs w:val="32"/>
        </w:rPr>
        <w:t>（一）《内蒙古自治区仿制药一致性评价</w:t>
      </w:r>
      <w:r>
        <w:rPr>
          <w:rFonts w:hint="eastAsia" w:ascii="仿宋" w:hAnsi="仿宋" w:eastAsia="仿宋"/>
          <w:bCs/>
          <w:sz w:val="32"/>
          <w:szCs w:val="32"/>
        </w:rPr>
        <w:t>专项资金</w:t>
      </w:r>
      <w:r>
        <w:rPr>
          <w:rFonts w:hint="eastAsia" w:ascii="仿宋" w:hAnsi="仿宋" w:eastAsia="仿宋" w:cs="楷体"/>
          <w:bCs/>
          <w:sz w:val="32"/>
          <w:szCs w:val="32"/>
        </w:rPr>
        <w:t>项目申报表》</w:t>
      </w:r>
      <w:r>
        <w:rPr>
          <w:rFonts w:hint="eastAsia" w:ascii="仿宋" w:hAnsi="仿宋" w:eastAsia="仿宋" w:cs="楷体"/>
          <w:bCs/>
          <w:sz w:val="32"/>
          <w:szCs w:val="32"/>
          <w:lang w:eastAsia="zh-CN"/>
        </w:rPr>
        <w:t>。</w:t>
      </w:r>
    </w:p>
    <w:p>
      <w:pPr>
        <w:spacing w:line="600" w:lineRule="exact"/>
        <w:ind w:firstLine="640" w:firstLineChars="200"/>
        <w:jc w:val="left"/>
        <w:rPr>
          <w:rFonts w:ascii="仿宋" w:hAnsi="仿宋" w:eastAsia="仿宋" w:cs="楷体"/>
          <w:bCs/>
          <w:sz w:val="32"/>
          <w:szCs w:val="32"/>
        </w:rPr>
      </w:pPr>
      <w:r>
        <w:rPr>
          <w:rFonts w:hint="eastAsia" w:ascii="仿宋" w:hAnsi="仿宋" w:eastAsia="仿宋" w:cs="楷体"/>
          <w:bCs/>
          <w:sz w:val="32"/>
          <w:szCs w:val="32"/>
        </w:rPr>
        <w:t>（二）营业执照复印件、药品生产许可证复印件、药品生产质量管理规范认证证书复印件、药品再注册批件复印件。</w:t>
      </w:r>
    </w:p>
    <w:p>
      <w:pPr>
        <w:spacing w:line="600" w:lineRule="exact"/>
        <w:ind w:firstLine="640" w:firstLineChars="200"/>
        <w:jc w:val="left"/>
        <w:rPr>
          <w:rFonts w:hint="eastAsia" w:ascii="仿宋" w:hAnsi="仿宋" w:eastAsia="仿宋" w:cs="楷体"/>
          <w:bCs/>
          <w:sz w:val="32"/>
          <w:szCs w:val="32"/>
          <w:lang w:eastAsia="zh-CN"/>
        </w:rPr>
      </w:pPr>
      <w:r>
        <w:rPr>
          <w:rFonts w:hint="eastAsia" w:ascii="仿宋" w:hAnsi="仿宋" w:eastAsia="仿宋" w:cs="楷体"/>
          <w:bCs/>
          <w:sz w:val="32"/>
          <w:szCs w:val="32"/>
        </w:rPr>
        <w:t>（三）一致性评价工作进展情况证明</w:t>
      </w:r>
      <w:r>
        <w:rPr>
          <w:rFonts w:hint="eastAsia" w:ascii="仿宋" w:hAnsi="仿宋" w:eastAsia="仿宋" w:cs="楷体"/>
          <w:bCs/>
          <w:sz w:val="32"/>
          <w:szCs w:val="32"/>
          <w:lang w:eastAsia="zh-CN"/>
        </w:rPr>
        <w:t>。</w:t>
      </w:r>
    </w:p>
    <w:p>
      <w:pPr>
        <w:spacing w:line="600" w:lineRule="exact"/>
        <w:ind w:firstLine="640" w:firstLineChars="200"/>
        <w:jc w:val="left"/>
        <w:rPr>
          <w:rFonts w:hint="eastAsia" w:ascii="仿宋" w:hAnsi="仿宋" w:eastAsia="仿宋" w:cs="楷体"/>
          <w:bCs/>
          <w:sz w:val="32"/>
          <w:szCs w:val="32"/>
          <w:lang w:eastAsia="zh-CN"/>
        </w:rPr>
      </w:pPr>
      <w:r>
        <w:rPr>
          <w:rFonts w:hint="eastAsia" w:ascii="仿宋" w:hAnsi="仿宋" w:eastAsia="仿宋" w:cs="楷体"/>
          <w:bCs/>
          <w:sz w:val="32"/>
          <w:szCs w:val="32"/>
        </w:rPr>
        <w:t>1.仿制药质量和疗效一致性评价受理通知书或临床试验网上备案信息网站截图</w:t>
      </w:r>
      <w:r>
        <w:rPr>
          <w:rFonts w:hint="eastAsia" w:ascii="仿宋" w:hAnsi="仿宋" w:eastAsia="仿宋" w:cs="楷体"/>
          <w:bCs/>
          <w:sz w:val="32"/>
          <w:szCs w:val="32"/>
          <w:lang w:eastAsia="zh-CN"/>
        </w:rPr>
        <w:t>；</w:t>
      </w:r>
    </w:p>
    <w:p>
      <w:pPr>
        <w:spacing w:line="600" w:lineRule="exact"/>
        <w:ind w:firstLine="640" w:firstLineChars="200"/>
        <w:jc w:val="left"/>
        <w:rPr>
          <w:rFonts w:hint="eastAsia" w:ascii="仿宋" w:hAnsi="仿宋" w:eastAsia="仿宋" w:cs="楷体"/>
          <w:bCs/>
          <w:sz w:val="32"/>
          <w:szCs w:val="32"/>
          <w:lang w:eastAsia="zh-CN"/>
        </w:rPr>
      </w:pPr>
      <w:r>
        <w:rPr>
          <w:rFonts w:hint="eastAsia" w:ascii="仿宋" w:hAnsi="仿宋" w:eastAsia="仿宋" w:cs="楷体"/>
          <w:bCs/>
          <w:sz w:val="32"/>
          <w:szCs w:val="32"/>
        </w:rPr>
        <w:t>2.通过仿制药质量和疗效一致性评价补充申请批件（申请先行补助资金的可不提供）</w:t>
      </w:r>
      <w:r>
        <w:rPr>
          <w:rFonts w:hint="eastAsia" w:ascii="仿宋" w:hAnsi="仿宋" w:eastAsia="仿宋" w:cs="楷体"/>
          <w:bCs/>
          <w:sz w:val="32"/>
          <w:szCs w:val="32"/>
          <w:lang w:eastAsia="zh-CN"/>
        </w:rPr>
        <w:t>。</w:t>
      </w:r>
    </w:p>
    <w:p>
      <w:pPr>
        <w:spacing w:line="600" w:lineRule="exact"/>
        <w:ind w:firstLine="640" w:firstLineChars="200"/>
        <w:jc w:val="left"/>
        <w:rPr>
          <w:rFonts w:hint="eastAsia" w:ascii="仿宋" w:hAnsi="仿宋" w:eastAsia="仿宋" w:cs="楷体"/>
          <w:bCs/>
          <w:sz w:val="32"/>
          <w:szCs w:val="32"/>
          <w:lang w:eastAsia="zh-CN"/>
        </w:rPr>
      </w:pPr>
      <w:r>
        <w:rPr>
          <w:rFonts w:hint="eastAsia" w:ascii="仿宋" w:hAnsi="仿宋" w:eastAsia="仿宋" w:cs="楷体"/>
          <w:bCs/>
          <w:sz w:val="32"/>
          <w:szCs w:val="32"/>
        </w:rPr>
        <w:t>（四）申报一致性评价品种投入资金情况的说明及财务报表</w:t>
      </w:r>
      <w:r>
        <w:rPr>
          <w:rFonts w:hint="eastAsia" w:ascii="仿宋" w:hAnsi="仿宋" w:eastAsia="仿宋" w:cs="楷体"/>
          <w:bCs/>
          <w:sz w:val="32"/>
          <w:szCs w:val="32"/>
          <w:lang w:eastAsia="zh-CN"/>
        </w:rPr>
        <w:t>。</w:t>
      </w:r>
    </w:p>
    <w:p>
      <w:pPr>
        <w:spacing w:line="600" w:lineRule="exact"/>
        <w:ind w:firstLine="640" w:firstLineChars="200"/>
        <w:jc w:val="left"/>
        <w:rPr>
          <w:rFonts w:hint="eastAsia" w:ascii="黑体" w:hAnsi="黑体" w:eastAsia="黑体" w:cs="黑体"/>
          <w:b/>
          <w:bCs/>
          <w:sz w:val="32"/>
          <w:szCs w:val="32"/>
          <w:lang w:eastAsia="zh-CN"/>
        </w:rPr>
      </w:pPr>
      <w:r>
        <w:rPr>
          <w:rFonts w:hint="eastAsia" w:ascii="黑体" w:hAnsi="黑体" w:eastAsia="黑体" w:cs="黑体"/>
          <w:bCs/>
          <w:sz w:val="32"/>
          <w:szCs w:val="32"/>
          <w:lang w:eastAsia="zh-CN"/>
        </w:rPr>
        <w:t>四</w:t>
      </w:r>
      <w:r>
        <w:rPr>
          <w:rFonts w:hint="eastAsia" w:ascii="黑体" w:hAnsi="黑体" w:eastAsia="黑体" w:cs="黑体"/>
          <w:bCs/>
          <w:sz w:val="32"/>
          <w:szCs w:val="32"/>
        </w:rPr>
        <w:t>、</w:t>
      </w:r>
      <w:r>
        <w:rPr>
          <w:rFonts w:hint="eastAsia" w:ascii="黑体" w:hAnsi="黑体" w:eastAsia="黑体" w:cs="黑体"/>
          <w:b w:val="0"/>
          <w:bCs w:val="0"/>
          <w:sz w:val="32"/>
          <w:szCs w:val="32"/>
        </w:rPr>
        <w:t>绩效</w:t>
      </w:r>
      <w:r>
        <w:rPr>
          <w:rFonts w:hint="eastAsia" w:ascii="黑体" w:hAnsi="黑体" w:eastAsia="黑体" w:cs="黑体"/>
          <w:b w:val="0"/>
          <w:bCs w:val="0"/>
          <w:sz w:val="32"/>
          <w:szCs w:val="32"/>
          <w:lang w:eastAsia="zh-CN"/>
        </w:rPr>
        <w:t>目标</w:t>
      </w:r>
    </w:p>
    <w:p>
      <w:pPr>
        <w:spacing w:line="600" w:lineRule="exact"/>
        <w:ind w:firstLine="640" w:firstLineChars="200"/>
        <w:jc w:val="left"/>
        <w:rPr>
          <w:rFonts w:hint="eastAsia" w:ascii="仿宋" w:hAnsi="仿宋" w:eastAsia="仿宋" w:cs="楷体"/>
          <w:bCs/>
          <w:sz w:val="32"/>
          <w:szCs w:val="32"/>
        </w:rPr>
      </w:pPr>
      <w:r>
        <w:rPr>
          <w:rFonts w:hint="eastAsia" w:ascii="仿宋" w:hAnsi="仿宋" w:eastAsia="仿宋" w:cs="楷体"/>
          <w:bCs/>
          <w:sz w:val="32"/>
          <w:szCs w:val="32"/>
        </w:rPr>
        <w:t>以受理仿制药一致性评价申请（国家市场监督管理总局批复）或备案临床试验（国家市场监督管理总局备案）和通过一致性评价（获得补充申请批件）为结点，对接国际原药标准，提升化药药品质量。</w:t>
      </w:r>
    </w:p>
    <w:p>
      <w:pPr>
        <w:spacing w:line="600" w:lineRule="exact"/>
        <w:ind w:firstLine="640" w:firstLineChars="200"/>
        <w:jc w:val="left"/>
        <w:rPr>
          <w:rFonts w:hint="eastAsia" w:ascii="仿宋" w:hAnsi="仿宋" w:eastAsia="仿宋" w:cs="楷体"/>
          <w:bCs/>
          <w:sz w:val="32"/>
          <w:szCs w:val="32"/>
        </w:rPr>
      </w:pPr>
    </w:p>
    <w:p>
      <w:pPr>
        <w:spacing w:line="600" w:lineRule="exact"/>
        <w:ind w:left="1918" w:leftChars="304" w:hanging="1280" w:hangingChars="400"/>
        <w:jc w:val="left"/>
        <w:rPr>
          <w:rFonts w:ascii="仿宋" w:hAnsi="仿宋" w:eastAsia="仿宋"/>
          <w:bCs/>
          <w:sz w:val="32"/>
          <w:szCs w:val="32"/>
        </w:rPr>
      </w:pPr>
      <w:r>
        <w:rPr>
          <w:rFonts w:hint="eastAsia" w:ascii="仿宋" w:hAnsi="仿宋" w:eastAsia="仿宋"/>
          <w:sz w:val="32"/>
          <w:szCs w:val="32"/>
        </w:rPr>
        <w:t>附件1：</w:t>
      </w:r>
      <w:r>
        <w:rPr>
          <w:rFonts w:hint="eastAsia" w:ascii="仿宋" w:hAnsi="仿宋" w:eastAsia="仿宋"/>
          <w:bCs/>
          <w:sz w:val="32"/>
          <w:szCs w:val="32"/>
        </w:rPr>
        <w:t>内蒙古自治区仿制药一致性评价专项资金项目申报表</w:t>
      </w:r>
    </w:p>
    <w:p>
      <w:pPr>
        <w:spacing w:line="600" w:lineRule="exact"/>
        <w:ind w:left="1918" w:leftChars="304" w:hanging="1280" w:hangingChars="400"/>
        <w:jc w:val="left"/>
        <w:rPr>
          <w:rFonts w:ascii="仿宋" w:hAnsi="仿宋" w:eastAsia="仿宋"/>
          <w:bCs/>
          <w:sz w:val="32"/>
          <w:szCs w:val="32"/>
        </w:rPr>
      </w:pPr>
      <w:r>
        <w:rPr>
          <w:rFonts w:hint="eastAsia" w:ascii="仿宋" w:hAnsi="仿宋" w:eastAsia="仿宋"/>
          <w:sz w:val="32"/>
          <w:szCs w:val="32"/>
        </w:rPr>
        <w:t>附件2：</w:t>
      </w:r>
      <w:r>
        <w:rPr>
          <w:rFonts w:hint="eastAsia" w:ascii="仿宋" w:hAnsi="仿宋" w:eastAsia="仿宋"/>
          <w:bCs/>
          <w:sz w:val="32"/>
          <w:szCs w:val="32"/>
        </w:rPr>
        <w:t>内蒙古自治区仿制药一致性评价专项资金绩效评价表</w:t>
      </w: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jc w:val="left"/>
        <w:rPr>
          <w:rFonts w:ascii="仿宋" w:hAnsi="仿宋" w:eastAsia="仿宋"/>
          <w:bCs/>
          <w:sz w:val="32"/>
          <w:szCs w:val="32"/>
        </w:rPr>
      </w:pPr>
    </w:p>
    <w:p>
      <w:pPr>
        <w:spacing w:line="600" w:lineRule="exact"/>
        <w:jc w:val="left"/>
        <w:rPr>
          <w:rFonts w:ascii="仿宋" w:hAnsi="仿宋" w:eastAsia="仿宋"/>
          <w:bCs/>
          <w:sz w:val="32"/>
          <w:szCs w:val="32"/>
        </w:rPr>
      </w:pPr>
    </w:p>
    <w:p>
      <w:pPr>
        <w:spacing w:line="600" w:lineRule="exact"/>
        <w:jc w:val="left"/>
        <w:rPr>
          <w:rFonts w:hint="eastAsia" w:ascii="黑体" w:hAnsi="黑体" w:eastAsia="黑体" w:cs="黑体"/>
          <w:bCs/>
          <w:sz w:val="32"/>
          <w:szCs w:val="32"/>
        </w:rPr>
      </w:pPr>
      <w:r>
        <w:rPr>
          <w:rFonts w:hint="eastAsia" w:ascii="黑体" w:hAnsi="黑体" w:eastAsia="黑体" w:cs="黑体"/>
          <w:bCs/>
          <w:sz w:val="32"/>
          <w:szCs w:val="32"/>
        </w:rPr>
        <w:t>附件1</w:t>
      </w: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1040" w:firstLineChars="200"/>
        <w:jc w:val="center"/>
        <w:rPr>
          <w:rFonts w:hint="eastAsia" w:ascii="黑体" w:hAnsi="黑体" w:eastAsia="黑体"/>
          <w:bCs/>
          <w:sz w:val="52"/>
          <w:szCs w:val="52"/>
        </w:rPr>
      </w:pPr>
      <w:r>
        <w:rPr>
          <w:rFonts w:hint="eastAsia" w:ascii="黑体" w:hAnsi="黑体" w:eastAsia="黑体"/>
          <w:bCs/>
          <w:sz w:val="52"/>
          <w:szCs w:val="52"/>
        </w:rPr>
        <w:t>内蒙古自治区仿制药一致性价</w:t>
      </w:r>
    </w:p>
    <w:p>
      <w:pPr>
        <w:spacing w:line="600" w:lineRule="exact"/>
        <w:ind w:firstLine="1040" w:firstLineChars="200"/>
        <w:jc w:val="center"/>
        <w:rPr>
          <w:rFonts w:hint="eastAsia" w:ascii="黑体" w:hAnsi="黑体" w:eastAsia="黑体"/>
          <w:bCs/>
          <w:sz w:val="52"/>
          <w:szCs w:val="52"/>
        </w:rPr>
      </w:pPr>
    </w:p>
    <w:p>
      <w:pPr>
        <w:spacing w:line="600" w:lineRule="exact"/>
        <w:ind w:firstLine="1040" w:firstLineChars="200"/>
        <w:jc w:val="center"/>
        <w:rPr>
          <w:rFonts w:ascii="黑体" w:hAnsi="黑体" w:eastAsia="黑体"/>
          <w:bCs/>
          <w:sz w:val="36"/>
          <w:szCs w:val="36"/>
        </w:rPr>
      </w:pPr>
      <w:r>
        <w:rPr>
          <w:rFonts w:hint="eastAsia" w:ascii="黑体" w:hAnsi="黑体" w:eastAsia="黑体"/>
          <w:bCs/>
          <w:sz w:val="52"/>
          <w:szCs w:val="52"/>
          <w:lang w:eastAsia="zh-CN"/>
        </w:rPr>
        <w:t>专项资金</w:t>
      </w:r>
      <w:r>
        <w:rPr>
          <w:rFonts w:hint="eastAsia" w:ascii="黑体" w:hAnsi="黑体" w:eastAsia="黑体"/>
          <w:bCs/>
          <w:sz w:val="52"/>
          <w:szCs w:val="52"/>
        </w:rPr>
        <w:t>项目申报表</w:t>
      </w: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1260" w:firstLineChars="450"/>
        <w:jc w:val="left"/>
        <w:rPr>
          <w:rFonts w:ascii="黑体" w:hAnsi="黑体" w:eastAsia="黑体"/>
          <w:bCs/>
          <w:sz w:val="28"/>
          <w:szCs w:val="28"/>
          <w:u w:val="single"/>
        </w:rPr>
      </w:pPr>
      <w:r>
        <w:rPr>
          <w:rFonts w:hint="eastAsia" w:ascii="黑体" w:hAnsi="黑体" w:eastAsia="黑体"/>
          <w:bCs/>
          <w:sz w:val="28"/>
          <w:szCs w:val="28"/>
        </w:rPr>
        <w:t>申报单位（盖章）：</w:t>
      </w:r>
      <w:r>
        <w:rPr>
          <w:rFonts w:hint="eastAsia" w:ascii="黑体" w:hAnsi="黑体" w:eastAsia="黑体"/>
          <w:bCs/>
          <w:sz w:val="28"/>
          <w:szCs w:val="28"/>
          <w:u w:val="single"/>
        </w:rPr>
        <w:t xml:space="preserve">                           </w:t>
      </w:r>
    </w:p>
    <w:p>
      <w:pPr>
        <w:spacing w:line="600" w:lineRule="exact"/>
        <w:ind w:firstLine="1260" w:firstLineChars="450"/>
        <w:jc w:val="left"/>
        <w:rPr>
          <w:rFonts w:ascii="黑体" w:hAnsi="黑体" w:eastAsia="黑体"/>
          <w:bCs/>
          <w:sz w:val="28"/>
          <w:szCs w:val="28"/>
          <w:u w:val="single"/>
        </w:rPr>
      </w:pPr>
      <w:r>
        <w:rPr>
          <w:rFonts w:hint="eastAsia" w:ascii="黑体" w:hAnsi="黑体" w:eastAsia="黑体"/>
          <w:bCs/>
          <w:sz w:val="28"/>
          <w:szCs w:val="28"/>
        </w:rPr>
        <w:t>法 定 代 表 人：</w:t>
      </w:r>
      <w:r>
        <w:rPr>
          <w:rFonts w:hint="eastAsia" w:ascii="黑体" w:hAnsi="黑体" w:eastAsia="黑体"/>
          <w:bCs/>
          <w:sz w:val="28"/>
          <w:szCs w:val="28"/>
          <w:u w:val="single"/>
        </w:rPr>
        <w:t xml:space="preserve">                            </w:t>
      </w:r>
    </w:p>
    <w:p>
      <w:pPr>
        <w:spacing w:line="600" w:lineRule="exact"/>
        <w:ind w:firstLine="1260" w:firstLineChars="450"/>
        <w:jc w:val="left"/>
        <w:rPr>
          <w:rFonts w:ascii="黑体" w:hAnsi="黑体" w:eastAsia="黑体"/>
          <w:bCs/>
          <w:sz w:val="28"/>
          <w:szCs w:val="28"/>
          <w:u w:val="single"/>
        </w:rPr>
      </w:pPr>
      <w:r>
        <w:rPr>
          <w:rFonts w:hint="eastAsia" w:ascii="黑体" w:hAnsi="黑体" w:eastAsia="黑体"/>
          <w:bCs/>
          <w:sz w:val="28"/>
          <w:szCs w:val="28"/>
        </w:rPr>
        <w:t>联    系    人：</w:t>
      </w:r>
      <w:r>
        <w:rPr>
          <w:rFonts w:hint="eastAsia" w:ascii="黑体" w:hAnsi="黑体" w:eastAsia="黑体"/>
          <w:bCs/>
          <w:sz w:val="28"/>
          <w:szCs w:val="28"/>
          <w:u w:val="single"/>
        </w:rPr>
        <w:t xml:space="preserve">                            </w:t>
      </w:r>
    </w:p>
    <w:p>
      <w:pPr>
        <w:spacing w:line="600" w:lineRule="exact"/>
        <w:ind w:firstLine="1260" w:firstLineChars="450"/>
        <w:jc w:val="left"/>
        <w:rPr>
          <w:rFonts w:ascii="黑体" w:hAnsi="黑体" w:eastAsia="黑体"/>
          <w:bCs/>
          <w:sz w:val="28"/>
          <w:szCs w:val="28"/>
          <w:u w:val="single"/>
        </w:rPr>
      </w:pPr>
      <w:r>
        <w:rPr>
          <w:rFonts w:hint="eastAsia" w:ascii="黑体" w:hAnsi="黑体" w:eastAsia="黑体"/>
          <w:bCs/>
          <w:sz w:val="28"/>
          <w:szCs w:val="28"/>
        </w:rPr>
        <w:t>联  系  电  话：</w:t>
      </w:r>
      <w:r>
        <w:rPr>
          <w:rFonts w:hint="eastAsia" w:ascii="黑体" w:hAnsi="黑体" w:eastAsia="黑体"/>
          <w:bCs/>
          <w:sz w:val="28"/>
          <w:szCs w:val="28"/>
          <w:u w:val="single"/>
        </w:rPr>
        <w:t xml:space="preserve">                            </w:t>
      </w: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980" w:firstLineChars="350"/>
        <w:jc w:val="left"/>
        <w:rPr>
          <w:rFonts w:ascii="黑体" w:hAnsi="黑体" w:eastAsia="黑体"/>
          <w:bCs/>
          <w:sz w:val="28"/>
          <w:szCs w:val="28"/>
        </w:rPr>
      </w:pPr>
    </w:p>
    <w:p>
      <w:pPr>
        <w:spacing w:line="600" w:lineRule="exact"/>
        <w:ind w:firstLine="1680" w:firstLineChars="600"/>
        <w:jc w:val="left"/>
        <w:rPr>
          <w:rFonts w:ascii="黑体" w:hAnsi="黑体" w:eastAsia="黑体"/>
          <w:bCs/>
          <w:sz w:val="28"/>
          <w:szCs w:val="28"/>
        </w:rPr>
      </w:pPr>
    </w:p>
    <w:p>
      <w:pPr>
        <w:spacing w:line="600" w:lineRule="exact"/>
        <w:ind w:firstLine="1680" w:firstLineChars="600"/>
        <w:jc w:val="left"/>
        <w:rPr>
          <w:rFonts w:ascii="黑体" w:hAnsi="黑体" w:eastAsia="黑体"/>
          <w:bCs/>
          <w:sz w:val="28"/>
          <w:szCs w:val="28"/>
        </w:rPr>
      </w:pPr>
      <w:r>
        <w:rPr>
          <w:rFonts w:hint="eastAsia" w:ascii="黑体" w:hAnsi="黑体" w:eastAsia="黑体"/>
          <w:bCs/>
          <w:sz w:val="28"/>
          <w:szCs w:val="28"/>
        </w:rPr>
        <w:t>申请日期         年        月        日</w:t>
      </w: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880" w:firstLineChars="20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承  诺  书</w:t>
      </w: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本企业承诺：</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1.本申报书中所填写的内容真实、合法、有效。</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2.提供的申报资料和文件内容真实、可靠、事实存在。</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3.本申报书中所涉及单位的知识产权、商业秘密明晰完整，归属本单位或技术来源正当合法，未剽窃他人成果，未侵犯他人的知识产权或商业秘密。</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4.无违法、违纪、违规行为，近两年内未发生过重大环境污染事件或安全生产事故。</w:t>
      </w: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若发生与上述承诺相违背的事实，由本单位承担法律责任。</w:t>
      </w: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640" w:firstLineChars="200"/>
        <w:jc w:val="left"/>
        <w:rPr>
          <w:rFonts w:ascii="仿宋" w:hAnsi="仿宋" w:eastAsia="仿宋"/>
          <w:bCs/>
          <w:sz w:val="32"/>
          <w:szCs w:val="32"/>
        </w:rPr>
      </w:pPr>
    </w:p>
    <w:p>
      <w:pPr>
        <w:spacing w:line="600" w:lineRule="exact"/>
        <w:ind w:firstLine="2560" w:firstLineChars="800"/>
        <w:jc w:val="left"/>
        <w:rPr>
          <w:rFonts w:ascii="仿宋" w:hAnsi="仿宋" w:eastAsia="仿宋"/>
          <w:bCs/>
          <w:sz w:val="32"/>
          <w:szCs w:val="32"/>
        </w:rPr>
      </w:pPr>
      <w:r>
        <w:rPr>
          <w:rFonts w:hint="eastAsia" w:ascii="仿宋" w:hAnsi="仿宋" w:eastAsia="仿宋"/>
          <w:bCs/>
          <w:sz w:val="32"/>
          <w:szCs w:val="32"/>
        </w:rPr>
        <w:t>法定代表人（签字）：</w:t>
      </w:r>
    </w:p>
    <w:p>
      <w:pPr>
        <w:spacing w:line="600" w:lineRule="exact"/>
        <w:ind w:firstLine="2560" w:firstLineChars="800"/>
        <w:jc w:val="left"/>
        <w:rPr>
          <w:rFonts w:hint="eastAsia" w:ascii="仿宋" w:hAnsi="仿宋" w:eastAsia="仿宋"/>
          <w:bCs/>
          <w:sz w:val="32"/>
          <w:szCs w:val="32"/>
        </w:rPr>
      </w:pPr>
      <w:r>
        <w:rPr>
          <w:rFonts w:hint="eastAsia" w:ascii="仿宋" w:hAnsi="仿宋" w:eastAsia="仿宋"/>
          <w:bCs/>
          <w:sz w:val="32"/>
          <w:szCs w:val="32"/>
        </w:rPr>
        <w:t>单位（盖章）：</w:t>
      </w:r>
    </w:p>
    <w:p>
      <w:pPr>
        <w:spacing w:line="600" w:lineRule="exact"/>
        <w:ind w:firstLine="2560" w:firstLineChars="800"/>
        <w:jc w:val="left"/>
        <w:rPr>
          <w:rFonts w:hint="eastAsia" w:ascii="仿宋" w:hAnsi="仿宋" w:eastAsia="仿宋"/>
          <w:bCs/>
          <w:sz w:val="32"/>
          <w:szCs w:val="32"/>
        </w:rPr>
      </w:pPr>
    </w:p>
    <w:p>
      <w:pPr>
        <w:spacing w:line="600" w:lineRule="exact"/>
        <w:ind w:firstLine="4320" w:firstLineChars="1350"/>
        <w:jc w:val="left"/>
        <w:rPr>
          <w:rFonts w:hint="eastAsia" w:ascii="仿宋" w:hAnsi="仿宋" w:eastAsia="仿宋"/>
          <w:bCs/>
          <w:sz w:val="32"/>
          <w:szCs w:val="32"/>
        </w:rPr>
      </w:pPr>
      <w:r>
        <w:rPr>
          <w:rFonts w:hint="eastAsia" w:ascii="仿宋" w:hAnsi="仿宋" w:eastAsia="仿宋"/>
          <w:bCs/>
          <w:sz w:val="32"/>
          <w:szCs w:val="32"/>
        </w:rPr>
        <w:t>年    月     日</w:t>
      </w:r>
    </w:p>
    <w:p>
      <w:pPr>
        <w:spacing w:line="600" w:lineRule="exact"/>
        <w:jc w:val="left"/>
        <w:rPr>
          <w:rFonts w:ascii="仿宋" w:hAnsi="仿宋" w:eastAsia="仿宋"/>
          <w:bCs/>
          <w:sz w:val="32"/>
          <w:szCs w:val="32"/>
        </w:rPr>
      </w:pPr>
    </w:p>
    <w:tbl>
      <w:tblPr>
        <w:tblStyle w:val="6"/>
        <w:tblW w:w="84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223"/>
        <w:gridCol w:w="492"/>
        <w:gridCol w:w="926"/>
        <w:gridCol w:w="850"/>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8469"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bCs/>
                <w:sz w:val="24"/>
                <w:szCs w:val="24"/>
              </w:rPr>
            </w:pPr>
            <w:r>
              <w:rPr>
                <w:rFonts w:hint="eastAsia" w:ascii="仿宋" w:hAnsi="仿宋" w:eastAsia="仿宋"/>
                <w:b/>
                <w:bCs w:val="0"/>
                <w:sz w:val="24"/>
                <w:szCs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8469"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1746"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企业名称</w:t>
            </w:r>
          </w:p>
        </w:tc>
        <w:tc>
          <w:tcPr>
            <w:tcW w:w="271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left"/>
              <w:rPr>
                <w:rFonts w:ascii="仿宋" w:hAnsi="仿宋" w:eastAsia="仿宋"/>
                <w:bCs/>
                <w:sz w:val="24"/>
                <w:szCs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法定代表人</w:t>
            </w:r>
          </w:p>
        </w:tc>
        <w:tc>
          <w:tcPr>
            <w:tcW w:w="223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1746"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注册地址</w:t>
            </w:r>
          </w:p>
        </w:tc>
        <w:tc>
          <w:tcPr>
            <w:tcW w:w="672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1746"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单位主管部门</w:t>
            </w:r>
          </w:p>
        </w:tc>
        <w:tc>
          <w:tcPr>
            <w:tcW w:w="672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1746"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联系电话</w:t>
            </w:r>
          </w:p>
        </w:tc>
        <w:tc>
          <w:tcPr>
            <w:tcW w:w="271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left"/>
              <w:rPr>
                <w:rFonts w:ascii="仿宋" w:hAnsi="仿宋" w:eastAsia="仿宋"/>
                <w:bCs/>
                <w:sz w:val="24"/>
                <w:szCs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组织机构代码</w:t>
            </w:r>
          </w:p>
        </w:tc>
        <w:tc>
          <w:tcPr>
            <w:tcW w:w="223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1746"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通讯地址</w:t>
            </w:r>
          </w:p>
        </w:tc>
        <w:tc>
          <w:tcPr>
            <w:tcW w:w="672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trPr>
        <w:tc>
          <w:tcPr>
            <w:tcW w:w="1746"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通过一致性评价品种</w:t>
            </w:r>
          </w:p>
        </w:tc>
        <w:tc>
          <w:tcPr>
            <w:tcW w:w="2223"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品种名称</w:t>
            </w:r>
          </w:p>
        </w:tc>
        <w:tc>
          <w:tcPr>
            <w:tcW w:w="4500"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1746"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left"/>
              <w:rPr>
                <w:rFonts w:ascii="仿宋" w:hAnsi="仿宋" w:eastAsia="仿宋"/>
                <w:bCs/>
                <w:sz w:val="24"/>
                <w:szCs w:val="24"/>
              </w:rPr>
            </w:pPr>
          </w:p>
        </w:tc>
        <w:tc>
          <w:tcPr>
            <w:tcW w:w="2223"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一致性评价阶段</w:t>
            </w:r>
          </w:p>
        </w:tc>
        <w:tc>
          <w:tcPr>
            <w:tcW w:w="4500"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1746"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联系人</w:t>
            </w:r>
          </w:p>
        </w:tc>
        <w:tc>
          <w:tcPr>
            <w:tcW w:w="222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left"/>
              <w:rPr>
                <w:rFonts w:ascii="仿宋" w:hAnsi="仿宋" w:eastAsia="仿宋"/>
                <w:bCs/>
                <w:sz w:val="24"/>
                <w:szCs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职务</w:t>
            </w:r>
          </w:p>
        </w:tc>
        <w:tc>
          <w:tcPr>
            <w:tcW w:w="3082"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1746"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固定电话</w:t>
            </w:r>
          </w:p>
        </w:tc>
        <w:tc>
          <w:tcPr>
            <w:tcW w:w="222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left"/>
              <w:rPr>
                <w:rFonts w:ascii="仿宋" w:hAnsi="仿宋" w:eastAsia="仿宋"/>
                <w:bCs/>
                <w:sz w:val="24"/>
                <w:szCs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移动电话</w:t>
            </w:r>
          </w:p>
        </w:tc>
        <w:tc>
          <w:tcPr>
            <w:tcW w:w="3082"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1746"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传真号码</w:t>
            </w:r>
          </w:p>
        </w:tc>
        <w:tc>
          <w:tcPr>
            <w:tcW w:w="222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left"/>
              <w:rPr>
                <w:rFonts w:ascii="仿宋" w:hAnsi="仿宋" w:eastAsia="仿宋"/>
                <w:bCs/>
                <w:sz w:val="24"/>
                <w:szCs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邮箱</w:t>
            </w:r>
          </w:p>
        </w:tc>
        <w:tc>
          <w:tcPr>
            <w:tcW w:w="3082"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8469"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bCs/>
                <w:sz w:val="24"/>
                <w:szCs w:val="24"/>
              </w:rPr>
            </w:pPr>
            <w:r>
              <w:rPr>
                <w:rFonts w:hint="eastAsia" w:ascii="仿宋" w:hAnsi="仿宋" w:eastAsia="仿宋"/>
                <w:b/>
                <w:bCs w:val="0"/>
                <w:sz w:val="24"/>
                <w:szCs w:val="24"/>
              </w:rPr>
              <w:t>二、一致性评价情况概述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1" w:hRule="exact"/>
        </w:trPr>
        <w:tc>
          <w:tcPr>
            <w:tcW w:w="8469"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（一）简要叙述通过一致性评价品种情况</w:t>
            </w:r>
            <w:r>
              <w:rPr>
                <w:rFonts w:hint="eastAsia" w:ascii="仿宋" w:hAnsi="仿宋" w:eastAsia="仿宋"/>
                <w:b/>
                <w:bCs/>
                <w:sz w:val="24"/>
                <w:szCs w:val="24"/>
              </w:rPr>
              <w:t>（</w:t>
            </w:r>
            <w:r>
              <w:rPr>
                <w:rFonts w:hint="eastAsia" w:ascii="仿宋" w:hAnsi="仿宋" w:eastAsia="仿宋"/>
                <w:bCs/>
                <w:sz w:val="24"/>
                <w:szCs w:val="24"/>
              </w:rPr>
              <w:t>包括：药学一致性评价、BE试验，备案情况，同品种通过一致性评价厂家数、该品种市场占有率、</w:t>
            </w:r>
            <w:r>
              <w:rPr>
                <w:rFonts w:hint="eastAsia" w:ascii="仿宋" w:hAnsi="仿宋" w:eastAsia="仿宋"/>
                <w:bCs/>
                <w:sz w:val="24"/>
                <w:szCs w:val="24"/>
                <w:lang w:val="en-US" w:eastAsia="zh-CN"/>
              </w:rPr>
              <w:t>截至</w:t>
            </w:r>
            <w:bookmarkStart w:id="0" w:name="_GoBack"/>
            <w:bookmarkEnd w:id="0"/>
            <w:r>
              <w:rPr>
                <w:rFonts w:hint="eastAsia" w:ascii="仿宋" w:hAnsi="仿宋" w:eastAsia="仿宋"/>
                <w:bCs/>
                <w:sz w:val="24"/>
                <w:szCs w:val="24"/>
              </w:rPr>
              <w:t>目前的一致性评价投资等）</w:t>
            </w:r>
          </w:p>
          <w:p>
            <w:pPr>
              <w:spacing w:line="600" w:lineRule="exact"/>
              <w:jc w:val="left"/>
              <w:rPr>
                <w:rFonts w:ascii="仿宋" w:hAnsi="仿宋" w:eastAsia="仿宋"/>
                <w:bCs/>
                <w:sz w:val="24"/>
                <w:szCs w:val="24"/>
              </w:rPr>
            </w:pPr>
          </w:p>
          <w:p>
            <w:pPr>
              <w:spacing w:line="600" w:lineRule="exact"/>
              <w:jc w:val="left"/>
              <w:rPr>
                <w:rFonts w:ascii="仿宋" w:hAnsi="仿宋" w:eastAsia="仿宋"/>
                <w:bCs/>
                <w:sz w:val="24"/>
                <w:szCs w:val="24"/>
              </w:rPr>
            </w:pPr>
          </w:p>
          <w:p>
            <w:pPr>
              <w:spacing w:line="600" w:lineRule="exact"/>
              <w:jc w:val="left"/>
              <w:rPr>
                <w:rFonts w:ascii="仿宋" w:hAnsi="仿宋" w:eastAsia="仿宋"/>
                <w:bCs/>
                <w:sz w:val="24"/>
                <w:szCs w:val="24"/>
              </w:rPr>
            </w:pPr>
          </w:p>
          <w:p>
            <w:pPr>
              <w:spacing w:line="600" w:lineRule="exact"/>
              <w:jc w:val="left"/>
              <w:rPr>
                <w:rFonts w:ascii="仿宋" w:hAnsi="仿宋" w:eastAsia="仿宋"/>
                <w:bCs/>
                <w:sz w:val="24"/>
                <w:szCs w:val="24"/>
              </w:rPr>
            </w:pPr>
          </w:p>
          <w:p>
            <w:pPr>
              <w:spacing w:line="600" w:lineRule="exact"/>
              <w:jc w:val="left"/>
              <w:rPr>
                <w:rFonts w:ascii="仿宋" w:hAnsi="仿宋" w:eastAsia="仿宋"/>
                <w:bCs/>
                <w:sz w:val="24"/>
                <w:szCs w:val="24"/>
              </w:rPr>
            </w:pPr>
          </w:p>
          <w:p>
            <w:pPr>
              <w:spacing w:line="600" w:lineRule="exact"/>
              <w:jc w:val="left"/>
              <w:rPr>
                <w:rFonts w:ascii="仿宋" w:hAnsi="仿宋" w:eastAsia="仿宋"/>
                <w:bCs/>
                <w:sz w:val="24"/>
                <w:szCs w:val="24"/>
              </w:rPr>
            </w:pPr>
          </w:p>
          <w:p>
            <w:pPr>
              <w:spacing w:line="600" w:lineRule="exact"/>
              <w:jc w:val="left"/>
              <w:rPr>
                <w:rFonts w:ascii="仿宋" w:hAnsi="仿宋" w:eastAsia="仿宋"/>
                <w:bCs/>
                <w:sz w:val="24"/>
                <w:szCs w:val="24"/>
              </w:rPr>
            </w:pPr>
          </w:p>
          <w:p>
            <w:pPr>
              <w:spacing w:line="600" w:lineRule="exact"/>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0" w:hRule="exact"/>
        </w:trPr>
        <w:tc>
          <w:tcPr>
            <w:tcW w:w="8469"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（二）企业研发能力（负责质检、管理专门机构及专职人员情况，负责监测与评价专门机构及专职人员情况）</w:t>
            </w:r>
          </w:p>
          <w:p>
            <w:pPr>
              <w:spacing w:line="600" w:lineRule="exact"/>
              <w:jc w:val="left"/>
              <w:rPr>
                <w:rFonts w:ascii="仿宋" w:hAnsi="仿宋" w:eastAsia="仿宋"/>
                <w:bCs/>
                <w:sz w:val="24"/>
                <w:szCs w:val="24"/>
              </w:rPr>
            </w:pPr>
          </w:p>
          <w:p>
            <w:pPr>
              <w:spacing w:line="600" w:lineRule="exact"/>
              <w:jc w:val="left"/>
              <w:rPr>
                <w:rFonts w:ascii="仿宋" w:hAnsi="仿宋" w:eastAsia="仿宋"/>
                <w:bCs/>
                <w:sz w:val="24"/>
                <w:szCs w:val="24"/>
              </w:rPr>
            </w:pPr>
          </w:p>
          <w:p>
            <w:pPr>
              <w:spacing w:line="600" w:lineRule="exact"/>
              <w:jc w:val="left"/>
              <w:rPr>
                <w:rFonts w:ascii="仿宋" w:hAnsi="仿宋" w:eastAsia="仿宋"/>
                <w:bCs/>
                <w:sz w:val="24"/>
                <w:szCs w:val="24"/>
              </w:rPr>
            </w:pPr>
          </w:p>
          <w:p>
            <w:pPr>
              <w:spacing w:line="600" w:lineRule="exact"/>
              <w:jc w:val="left"/>
              <w:rPr>
                <w:rFonts w:ascii="仿宋" w:hAnsi="仿宋" w:eastAsia="仿宋"/>
                <w:bCs/>
                <w:sz w:val="24"/>
                <w:szCs w:val="24"/>
              </w:rPr>
            </w:pPr>
          </w:p>
          <w:p>
            <w:pPr>
              <w:spacing w:line="600" w:lineRule="exact"/>
              <w:jc w:val="left"/>
              <w:rPr>
                <w:rFonts w:ascii="仿宋" w:hAnsi="仿宋" w:eastAsia="仿宋"/>
                <w:bCs/>
                <w:sz w:val="24"/>
                <w:szCs w:val="24"/>
              </w:rPr>
            </w:pPr>
          </w:p>
          <w:p>
            <w:pPr>
              <w:spacing w:line="600" w:lineRule="exact"/>
              <w:ind w:firstLine="480" w:firstLineChars="20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8" w:hRule="exact"/>
        </w:trPr>
        <w:tc>
          <w:tcPr>
            <w:tcW w:w="8469"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（三）内控质量标准及工艺规程简介</w:t>
            </w:r>
          </w:p>
          <w:p>
            <w:pPr>
              <w:spacing w:line="600" w:lineRule="exact"/>
              <w:ind w:firstLine="480" w:firstLineChars="200"/>
              <w:jc w:val="left"/>
              <w:rPr>
                <w:rFonts w:ascii="仿宋" w:hAnsi="仿宋" w:eastAsia="仿宋"/>
                <w:bCs/>
                <w:sz w:val="24"/>
                <w:szCs w:val="24"/>
              </w:rPr>
            </w:pPr>
          </w:p>
          <w:p>
            <w:pPr>
              <w:spacing w:line="600" w:lineRule="exact"/>
              <w:ind w:firstLine="480" w:firstLineChars="200"/>
              <w:jc w:val="left"/>
              <w:rPr>
                <w:rFonts w:ascii="仿宋" w:hAnsi="仿宋" w:eastAsia="仿宋"/>
                <w:bCs/>
                <w:sz w:val="24"/>
                <w:szCs w:val="24"/>
              </w:rPr>
            </w:pPr>
          </w:p>
          <w:p>
            <w:pPr>
              <w:spacing w:line="600" w:lineRule="exact"/>
              <w:ind w:firstLine="480" w:firstLineChars="200"/>
              <w:jc w:val="left"/>
              <w:rPr>
                <w:rFonts w:ascii="仿宋" w:hAnsi="仿宋" w:eastAsia="仿宋"/>
                <w:bCs/>
                <w:sz w:val="24"/>
                <w:szCs w:val="24"/>
              </w:rPr>
            </w:pPr>
          </w:p>
          <w:p>
            <w:pPr>
              <w:spacing w:line="600" w:lineRule="exact"/>
              <w:ind w:firstLine="480" w:firstLineChars="200"/>
              <w:jc w:val="left"/>
              <w:rPr>
                <w:rFonts w:ascii="仿宋" w:hAnsi="仿宋" w:eastAsia="仿宋"/>
                <w:bCs/>
                <w:sz w:val="24"/>
                <w:szCs w:val="24"/>
              </w:rPr>
            </w:pPr>
          </w:p>
          <w:p>
            <w:pPr>
              <w:spacing w:line="600" w:lineRule="exact"/>
              <w:ind w:firstLine="480" w:firstLineChars="200"/>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4" w:hRule="exact"/>
        </w:trPr>
        <w:tc>
          <w:tcPr>
            <w:tcW w:w="8469"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（四）药品销售情况（包括销售额、市场区域、本公司产品的市场占有率）</w:t>
            </w:r>
          </w:p>
          <w:p>
            <w:pPr>
              <w:spacing w:line="600" w:lineRule="exact"/>
              <w:ind w:firstLine="480" w:firstLineChars="200"/>
              <w:jc w:val="left"/>
              <w:rPr>
                <w:rFonts w:ascii="仿宋" w:hAnsi="仿宋" w:eastAsia="仿宋"/>
                <w:bCs/>
                <w:sz w:val="24"/>
                <w:szCs w:val="24"/>
              </w:rPr>
            </w:pPr>
          </w:p>
          <w:p>
            <w:pPr>
              <w:spacing w:line="600" w:lineRule="exact"/>
              <w:ind w:firstLine="480" w:firstLineChars="200"/>
              <w:jc w:val="left"/>
              <w:rPr>
                <w:rFonts w:ascii="仿宋" w:hAnsi="仿宋" w:eastAsia="仿宋"/>
                <w:bCs/>
                <w:sz w:val="24"/>
                <w:szCs w:val="24"/>
              </w:rPr>
            </w:pPr>
          </w:p>
          <w:p>
            <w:pPr>
              <w:spacing w:line="600" w:lineRule="exact"/>
              <w:ind w:firstLine="480" w:firstLineChars="200"/>
              <w:jc w:val="left"/>
              <w:rPr>
                <w:rFonts w:ascii="仿宋" w:hAnsi="仿宋" w:eastAsia="仿宋"/>
                <w:bCs/>
                <w:sz w:val="24"/>
                <w:szCs w:val="24"/>
              </w:rPr>
            </w:pPr>
          </w:p>
          <w:p>
            <w:pPr>
              <w:spacing w:line="600" w:lineRule="exact"/>
              <w:ind w:firstLine="480" w:firstLineChars="200"/>
              <w:jc w:val="left"/>
              <w:rPr>
                <w:rFonts w:ascii="仿宋" w:hAnsi="仿宋" w:eastAsia="仿宋"/>
                <w:bCs/>
                <w:sz w:val="24"/>
                <w:szCs w:val="24"/>
              </w:rPr>
            </w:pPr>
          </w:p>
          <w:p>
            <w:pPr>
              <w:spacing w:line="600" w:lineRule="exact"/>
              <w:ind w:firstLine="480" w:firstLineChars="200"/>
              <w:jc w:val="left"/>
              <w:rPr>
                <w:rFonts w:ascii="仿宋" w:hAnsi="仿宋" w:eastAsia="仿宋"/>
                <w:bCs/>
                <w:sz w:val="24"/>
                <w:szCs w:val="24"/>
              </w:rPr>
            </w:pPr>
          </w:p>
          <w:p>
            <w:pPr>
              <w:spacing w:line="600" w:lineRule="exact"/>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trPr>
        <w:tc>
          <w:tcPr>
            <w:tcW w:w="8469"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bCs/>
                <w:sz w:val="24"/>
                <w:szCs w:val="24"/>
              </w:rPr>
            </w:pPr>
            <w:r>
              <w:rPr>
                <w:rFonts w:hint="eastAsia" w:ascii="仿宋" w:hAnsi="仿宋" w:eastAsia="仿宋"/>
                <w:b/>
                <w:bCs w:val="0"/>
                <w:sz w:val="24"/>
                <w:szCs w:val="24"/>
              </w:rPr>
              <w:t>三、审核意见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8" w:hRule="exact"/>
        </w:trPr>
        <w:tc>
          <w:tcPr>
            <w:tcW w:w="8469"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盟市工信部门审核意见</w:t>
            </w:r>
          </w:p>
          <w:p>
            <w:pPr>
              <w:spacing w:line="600" w:lineRule="exact"/>
              <w:jc w:val="left"/>
              <w:rPr>
                <w:rFonts w:ascii="仿宋" w:hAnsi="仿宋" w:eastAsia="仿宋"/>
                <w:bCs/>
                <w:sz w:val="24"/>
                <w:szCs w:val="24"/>
              </w:rPr>
            </w:pPr>
          </w:p>
          <w:p>
            <w:pPr>
              <w:spacing w:line="600" w:lineRule="exact"/>
              <w:jc w:val="left"/>
              <w:rPr>
                <w:rFonts w:ascii="仿宋" w:hAnsi="仿宋" w:eastAsia="仿宋"/>
                <w:bCs/>
                <w:sz w:val="24"/>
                <w:szCs w:val="24"/>
              </w:rPr>
            </w:pPr>
          </w:p>
          <w:p>
            <w:pPr>
              <w:spacing w:line="600" w:lineRule="exact"/>
              <w:jc w:val="left"/>
              <w:rPr>
                <w:rFonts w:ascii="仿宋" w:hAnsi="仿宋" w:eastAsia="仿宋"/>
                <w:bCs/>
                <w:sz w:val="24"/>
                <w:szCs w:val="24"/>
              </w:rPr>
            </w:pPr>
          </w:p>
          <w:p>
            <w:pPr>
              <w:spacing w:line="600" w:lineRule="exact"/>
              <w:ind w:firstLine="4800" w:firstLineChars="2000"/>
              <w:jc w:val="left"/>
              <w:rPr>
                <w:rFonts w:ascii="仿宋" w:hAnsi="仿宋" w:eastAsia="仿宋"/>
                <w:bCs/>
                <w:sz w:val="24"/>
                <w:szCs w:val="24"/>
              </w:rPr>
            </w:pPr>
            <w:r>
              <w:rPr>
                <w:rFonts w:hint="eastAsia" w:ascii="仿宋" w:hAnsi="仿宋" w:eastAsia="仿宋"/>
                <w:bCs/>
                <w:sz w:val="24"/>
                <w:szCs w:val="24"/>
              </w:rPr>
              <w:t>单位盖章：</w:t>
            </w:r>
          </w:p>
          <w:p>
            <w:pPr>
              <w:spacing w:line="600" w:lineRule="exact"/>
              <w:ind w:firstLine="5160" w:firstLineChars="2150"/>
              <w:jc w:val="left"/>
              <w:rPr>
                <w:rFonts w:ascii="仿宋" w:hAnsi="仿宋" w:eastAsia="仿宋"/>
                <w:bCs/>
                <w:sz w:val="24"/>
                <w:szCs w:val="24"/>
              </w:rPr>
            </w:pPr>
            <w:r>
              <w:rPr>
                <w:rFonts w:hint="eastAsia" w:ascii="仿宋" w:hAnsi="仿宋" w:eastAsia="仿宋"/>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7" w:hRule="exact"/>
        </w:trPr>
        <w:tc>
          <w:tcPr>
            <w:tcW w:w="8469"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bCs/>
                <w:sz w:val="24"/>
                <w:szCs w:val="24"/>
              </w:rPr>
            </w:pPr>
            <w:r>
              <w:rPr>
                <w:rFonts w:hint="eastAsia" w:ascii="仿宋" w:hAnsi="仿宋" w:eastAsia="仿宋"/>
                <w:bCs/>
                <w:sz w:val="24"/>
                <w:szCs w:val="24"/>
              </w:rPr>
              <w:t>盟市财政部门审核意见</w:t>
            </w:r>
          </w:p>
          <w:p>
            <w:pPr>
              <w:spacing w:line="600" w:lineRule="exact"/>
              <w:ind w:firstLine="480" w:firstLineChars="200"/>
              <w:jc w:val="left"/>
              <w:rPr>
                <w:rFonts w:ascii="仿宋" w:hAnsi="仿宋" w:eastAsia="仿宋"/>
                <w:bCs/>
                <w:sz w:val="24"/>
                <w:szCs w:val="24"/>
              </w:rPr>
            </w:pPr>
          </w:p>
          <w:p>
            <w:pPr>
              <w:spacing w:line="600" w:lineRule="exact"/>
              <w:ind w:firstLine="480" w:firstLineChars="200"/>
              <w:jc w:val="left"/>
              <w:rPr>
                <w:rFonts w:ascii="仿宋" w:hAnsi="仿宋" w:eastAsia="仿宋"/>
                <w:bCs/>
                <w:sz w:val="24"/>
                <w:szCs w:val="24"/>
              </w:rPr>
            </w:pPr>
          </w:p>
          <w:p>
            <w:pPr>
              <w:spacing w:line="600" w:lineRule="exact"/>
              <w:jc w:val="left"/>
              <w:rPr>
                <w:rFonts w:ascii="仿宋" w:hAnsi="仿宋" w:eastAsia="仿宋"/>
                <w:bCs/>
                <w:sz w:val="24"/>
                <w:szCs w:val="24"/>
              </w:rPr>
            </w:pPr>
          </w:p>
          <w:p>
            <w:pPr>
              <w:spacing w:line="600" w:lineRule="exact"/>
              <w:ind w:firstLine="4680" w:firstLineChars="1950"/>
              <w:jc w:val="left"/>
              <w:rPr>
                <w:rFonts w:ascii="仿宋" w:hAnsi="仿宋" w:eastAsia="仿宋"/>
                <w:bCs/>
                <w:sz w:val="24"/>
                <w:szCs w:val="24"/>
              </w:rPr>
            </w:pPr>
            <w:r>
              <w:rPr>
                <w:rFonts w:hint="eastAsia" w:ascii="仿宋" w:hAnsi="仿宋" w:eastAsia="仿宋"/>
                <w:bCs/>
                <w:sz w:val="24"/>
                <w:szCs w:val="24"/>
              </w:rPr>
              <w:t>单位盖章：</w:t>
            </w:r>
          </w:p>
          <w:p>
            <w:pPr>
              <w:spacing w:line="600" w:lineRule="exact"/>
              <w:ind w:firstLine="5040" w:firstLineChars="2100"/>
              <w:jc w:val="left"/>
              <w:rPr>
                <w:rFonts w:ascii="仿宋" w:hAnsi="仿宋" w:eastAsia="仿宋"/>
                <w:bCs/>
                <w:sz w:val="24"/>
                <w:szCs w:val="24"/>
              </w:rPr>
            </w:pPr>
            <w:r>
              <w:rPr>
                <w:rFonts w:hint="eastAsia" w:ascii="仿宋" w:hAnsi="仿宋" w:eastAsia="仿宋"/>
                <w:bCs/>
                <w:sz w:val="24"/>
                <w:szCs w:val="24"/>
              </w:rPr>
              <w:t>年   月   日</w:t>
            </w:r>
          </w:p>
        </w:tc>
      </w:tr>
    </w:tbl>
    <w:p>
      <w:pPr>
        <w:spacing w:line="600" w:lineRule="exact"/>
        <w:jc w:val="left"/>
      </w:pPr>
    </w:p>
    <w:p>
      <w:pPr>
        <w:spacing w:line="600" w:lineRule="exact"/>
        <w:jc w:val="left"/>
      </w:pPr>
    </w:p>
    <w:tbl>
      <w:tblPr>
        <w:tblStyle w:val="7"/>
        <w:tblpPr w:leftFromText="180" w:rightFromText="180" w:vertAnchor="page" w:horzAnchor="margin" w:tblpX="-318" w:tblpY="3706"/>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3828"/>
        <w:gridCol w:w="2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073" w:type="dxa"/>
            <w:gridSpan w:val="3"/>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9073" w:type="dxa"/>
            <w:gridSpan w:val="3"/>
          </w:tcPr>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目标1：对启动仿制药一致性评价的药品品种，以受理仿制药一致性申请或备案临床为试点，先行补助。</w:t>
            </w:r>
          </w:p>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目标2：对通过一致性评价的品种给予后期奖补，推动我区化药品种加快一致性评价步伐。</w:t>
            </w:r>
          </w:p>
          <w:p>
            <w:pP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目标3：进一步推动我区化药产业发展，加快抢占市场份额。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76"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二级指标</w:t>
            </w:r>
          </w:p>
        </w:tc>
        <w:tc>
          <w:tcPr>
            <w:tcW w:w="3828"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三级指标</w:t>
            </w:r>
          </w:p>
        </w:tc>
        <w:tc>
          <w:tcPr>
            <w:tcW w:w="2869"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376" w:type="dxa"/>
            <w:vMerge w:val="restart"/>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数量指标</w:t>
            </w:r>
          </w:p>
        </w:tc>
        <w:tc>
          <w:tcPr>
            <w:tcW w:w="3828"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补助企业数</w:t>
            </w:r>
          </w:p>
        </w:tc>
        <w:tc>
          <w:tcPr>
            <w:tcW w:w="2869" w:type="dxa"/>
            <w:vAlign w:val="center"/>
          </w:tcPr>
          <w:p>
            <w:pPr>
              <w:jc w:val="center"/>
              <w:rPr>
                <w:rFonts w:asciiTheme="minorEastAsia" w:hAnsiTheme="minorEastAsia" w:eastAsiaTheme="minorEastAsia" w:cstheme="minorBid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376" w:type="dxa"/>
            <w:vMerge w:val="continue"/>
            <w:vAlign w:val="center"/>
          </w:tcPr>
          <w:p>
            <w:pPr>
              <w:jc w:val="center"/>
              <w:rPr>
                <w:rFonts w:asciiTheme="minorEastAsia" w:hAnsiTheme="minorEastAsia" w:eastAsiaTheme="minorEastAsia" w:cstheme="minorBidi"/>
                <w:sz w:val="24"/>
                <w:szCs w:val="24"/>
              </w:rPr>
            </w:pPr>
          </w:p>
        </w:tc>
        <w:tc>
          <w:tcPr>
            <w:tcW w:w="3828"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通过一致性评价品种数</w:t>
            </w:r>
          </w:p>
        </w:tc>
        <w:tc>
          <w:tcPr>
            <w:tcW w:w="2869" w:type="dxa"/>
            <w:vAlign w:val="center"/>
          </w:tcPr>
          <w:p>
            <w:pPr>
              <w:jc w:val="center"/>
              <w:rPr>
                <w:rFonts w:asciiTheme="minorEastAsia" w:hAnsiTheme="minorEastAsia" w:eastAsiaTheme="minorEastAsia" w:cstheme="minorBid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376" w:type="dxa"/>
            <w:vMerge w:val="restart"/>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质量指标</w:t>
            </w:r>
          </w:p>
        </w:tc>
        <w:tc>
          <w:tcPr>
            <w:tcW w:w="3828"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主要技术指标完成率</w:t>
            </w:r>
          </w:p>
        </w:tc>
        <w:tc>
          <w:tcPr>
            <w:tcW w:w="2869"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76" w:type="dxa"/>
            <w:vMerge w:val="continue"/>
            <w:vAlign w:val="center"/>
          </w:tcPr>
          <w:p>
            <w:pPr>
              <w:jc w:val="center"/>
              <w:rPr>
                <w:rFonts w:asciiTheme="minorEastAsia" w:hAnsiTheme="minorEastAsia" w:eastAsiaTheme="minorEastAsia" w:cstheme="minorBidi"/>
                <w:sz w:val="24"/>
                <w:szCs w:val="24"/>
              </w:rPr>
            </w:pPr>
          </w:p>
        </w:tc>
        <w:tc>
          <w:tcPr>
            <w:tcW w:w="3828"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项目质量可控性</w:t>
            </w:r>
          </w:p>
        </w:tc>
        <w:tc>
          <w:tcPr>
            <w:tcW w:w="2869"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0次安全、质量、违纪问题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376"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时效指标</w:t>
            </w:r>
          </w:p>
        </w:tc>
        <w:tc>
          <w:tcPr>
            <w:tcW w:w="3828"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受补助项目完工及时率</w:t>
            </w:r>
          </w:p>
        </w:tc>
        <w:tc>
          <w:tcPr>
            <w:tcW w:w="2869"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376" w:type="dxa"/>
            <w:vMerge w:val="restart"/>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成本指标</w:t>
            </w:r>
          </w:p>
        </w:tc>
        <w:tc>
          <w:tcPr>
            <w:tcW w:w="3828"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超概算项目数及金额</w:t>
            </w:r>
          </w:p>
        </w:tc>
        <w:tc>
          <w:tcPr>
            <w:tcW w:w="2869"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76" w:type="dxa"/>
            <w:vMerge w:val="continue"/>
            <w:vAlign w:val="center"/>
          </w:tcPr>
          <w:p>
            <w:pPr>
              <w:jc w:val="center"/>
              <w:rPr>
                <w:rFonts w:asciiTheme="minorEastAsia" w:hAnsiTheme="minorEastAsia" w:eastAsiaTheme="minorEastAsia" w:cstheme="minorBidi"/>
                <w:sz w:val="24"/>
                <w:szCs w:val="24"/>
              </w:rPr>
            </w:pPr>
          </w:p>
        </w:tc>
        <w:tc>
          <w:tcPr>
            <w:tcW w:w="3828"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财政资金撬动投资比例</w:t>
            </w:r>
          </w:p>
        </w:tc>
        <w:tc>
          <w:tcPr>
            <w:tcW w:w="2869"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2376" w:type="dxa"/>
            <w:vMerge w:val="continue"/>
            <w:vAlign w:val="center"/>
          </w:tcPr>
          <w:p>
            <w:pPr>
              <w:jc w:val="center"/>
              <w:rPr>
                <w:rFonts w:asciiTheme="minorEastAsia" w:hAnsiTheme="minorEastAsia" w:eastAsiaTheme="minorEastAsia" w:cstheme="minorBidi"/>
                <w:sz w:val="24"/>
                <w:szCs w:val="24"/>
              </w:rPr>
            </w:pPr>
          </w:p>
        </w:tc>
        <w:tc>
          <w:tcPr>
            <w:tcW w:w="3828"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项目总投资完成率</w:t>
            </w:r>
          </w:p>
        </w:tc>
        <w:tc>
          <w:tcPr>
            <w:tcW w:w="2869"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76" w:type="dxa"/>
            <w:vMerge w:val="restart"/>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经济效益</w:t>
            </w:r>
            <w:r>
              <w:rPr>
                <w:rFonts w:hint="eastAsia" w:asciiTheme="minorEastAsia" w:hAnsiTheme="minorEastAsia" w:eastAsiaTheme="minorEastAsia" w:cstheme="minorBidi"/>
                <w:sz w:val="24"/>
                <w:szCs w:val="24"/>
              </w:rPr>
              <w:br w:type="textWrapping"/>
            </w:r>
            <w:r>
              <w:rPr>
                <w:rFonts w:hint="eastAsia" w:asciiTheme="minorEastAsia" w:hAnsiTheme="minorEastAsia" w:eastAsiaTheme="minorEastAsia" w:cstheme="minorBidi"/>
                <w:sz w:val="24"/>
                <w:szCs w:val="24"/>
              </w:rPr>
              <w:t>指标</w:t>
            </w:r>
          </w:p>
        </w:tc>
        <w:tc>
          <w:tcPr>
            <w:tcW w:w="3828"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受补助企业运行情况</w:t>
            </w:r>
          </w:p>
        </w:tc>
        <w:tc>
          <w:tcPr>
            <w:tcW w:w="2869"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≥90%企业数量运行机制、经济效益良好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376" w:type="dxa"/>
            <w:vMerge w:val="continue"/>
            <w:vAlign w:val="center"/>
          </w:tcPr>
          <w:p>
            <w:pPr>
              <w:jc w:val="center"/>
              <w:rPr>
                <w:rFonts w:asciiTheme="minorEastAsia" w:hAnsiTheme="minorEastAsia" w:eastAsiaTheme="minorEastAsia" w:cstheme="minorBidi"/>
                <w:sz w:val="24"/>
                <w:szCs w:val="24"/>
              </w:rPr>
            </w:pPr>
          </w:p>
        </w:tc>
        <w:tc>
          <w:tcPr>
            <w:tcW w:w="3828"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生产经营增加值增长预期完成率</w:t>
            </w:r>
          </w:p>
        </w:tc>
        <w:tc>
          <w:tcPr>
            <w:tcW w:w="2869"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376" w:type="dxa"/>
            <w:vMerge w:val="continue"/>
            <w:vAlign w:val="center"/>
          </w:tcPr>
          <w:p>
            <w:pPr>
              <w:jc w:val="center"/>
              <w:rPr>
                <w:rFonts w:asciiTheme="minorEastAsia" w:hAnsiTheme="minorEastAsia" w:eastAsiaTheme="minorEastAsia" w:cstheme="minorBidi"/>
                <w:sz w:val="24"/>
                <w:szCs w:val="24"/>
              </w:rPr>
            </w:pPr>
          </w:p>
        </w:tc>
        <w:tc>
          <w:tcPr>
            <w:tcW w:w="3828"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销售收入增长预期完成率</w:t>
            </w:r>
          </w:p>
        </w:tc>
        <w:tc>
          <w:tcPr>
            <w:tcW w:w="2869"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376" w:type="dxa"/>
            <w:vMerge w:val="continue"/>
            <w:vAlign w:val="center"/>
          </w:tcPr>
          <w:p>
            <w:pPr>
              <w:jc w:val="center"/>
              <w:rPr>
                <w:rFonts w:asciiTheme="minorEastAsia" w:hAnsiTheme="minorEastAsia" w:eastAsiaTheme="minorEastAsia" w:cstheme="minorBidi"/>
                <w:sz w:val="24"/>
                <w:szCs w:val="24"/>
              </w:rPr>
            </w:pPr>
          </w:p>
        </w:tc>
        <w:tc>
          <w:tcPr>
            <w:tcW w:w="3828"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上缴税金增长预期完成率</w:t>
            </w:r>
          </w:p>
        </w:tc>
        <w:tc>
          <w:tcPr>
            <w:tcW w:w="2869"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76" w:type="dxa"/>
            <w:vMerge w:val="continue"/>
            <w:vAlign w:val="center"/>
          </w:tcPr>
          <w:p>
            <w:pPr>
              <w:jc w:val="center"/>
              <w:rPr>
                <w:rFonts w:asciiTheme="minorEastAsia" w:hAnsiTheme="minorEastAsia" w:eastAsiaTheme="minorEastAsia" w:cstheme="minorBidi"/>
                <w:sz w:val="24"/>
                <w:szCs w:val="24"/>
              </w:rPr>
            </w:pPr>
          </w:p>
        </w:tc>
        <w:tc>
          <w:tcPr>
            <w:tcW w:w="3828"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利润增长预期完成率</w:t>
            </w:r>
          </w:p>
        </w:tc>
        <w:tc>
          <w:tcPr>
            <w:tcW w:w="2869"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376" w:type="dxa"/>
            <w:vMerge w:val="continue"/>
            <w:vAlign w:val="center"/>
          </w:tcPr>
          <w:p>
            <w:pPr>
              <w:jc w:val="center"/>
              <w:rPr>
                <w:rFonts w:asciiTheme="minorEastAsia" w:hAnsiTheme="minorEastAsia" w:eastAsiaTheme="minorEastAsia" w:cstheme="minorBidi"/>
                <w:sz w:val="24"/>
                <w:szCs w:val="24"/>
              </w:rPr>
            </w:pPr>
          </w:p>
        </w:tc>
        <w:tc>
          <w:tcPr>
            <w:tcW w:w="3828"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主要产品生产能力提高预期完成率</w:t>
            </w:r>
          </w:p>
        </w:tc>
        <w:tc>
          <w:tcPr>
            <w:tcW w:w="2869"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376" w:type="dxa"/>
            <w:vMerge w:val="restart"/>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社会效益指标</w:t>
            </w:r>
          </w:p>
        </w:tc>
        <w:tc>
          <w:tcPr>
            <w:tcW w:w="3828"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研发投入达标率</w:t>
            </w:r>
          </w:p>
        </w:tc>
        <w:tc>
          <w:tcPr>
            <w:tcW w:w="2869"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90%（按达标项目数估算）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76" w:type="dxa"/>
            <w:vMerge w:val="continue"/>
            <w:vAlign w:val="center"/>
          </w:tcPr>
          <w:p>
            <w:pPr>
              <w:jc w:val="center"/>
              <w:rPr>
                <w:rFonts w:asciiTheme="minorEastAsia" w:hAnsiTheme="minorEastAsia" w:eastAsiaTheme="minorEastAsia" w:cstheme="minorBidi"/>
                <w:sz w:val="24"/>
                <w:szCs w:val="24"/>
              </w:rPr>
            </w:pPr>
          </w:p>
        </w:tc>
        <w:tc>
          <w:tcPr>
            <w:tcW w:w="3828"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医疗水平和健康生活提升作用</w:t>
            </w:r>
          </w:p>
        </w:tc>
        <w:tc>
          <w:tcPr>
            <w:tcW w:w="2869"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明显（抽样调查综合估算）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76"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生态效益指标</w:t>
            </w:r>
          </w:p>
        </w:tc>
        <w:tc>
          <w:tcPr>
            <w:tcW w:w="3828"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生产环境改善程度</w:t>
            </w:r>
          </w:p>
        </w:tc>
        <w:tc>
          <w:tcPr>
            <w:tcW w:w="2869"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技术创新对企业生产环境改善起促进作用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76"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可持续影响指标</w:t>
            </w:r>
          </w:p>
        </w:tc>
        <w:tc>
          <w:tcPr>
            <w:tcW w:w="3828"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受补助企业运行情况</w:t>
            </w:r>
          </w:p>
        </w:tc>
        <w:tc>
          <w:tcPr>
            <w:tcW w:w="2869"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≥90%中企业数量运行机制、发展前景良好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76"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服务对象满意度指标</w:t>
            </w:r>
          </w:p>
        </w:tc>
        <w:tc>
          <w:tcPr>
            <w:tcW w:w="3828"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服务对象满意度</w:t>
            </w:r>
          </w:p>
        </w:tc>
        <w:tc>
          <w:tcPr>
            <w:tcW w:w="2869" w:type="dxa"/>
            <w:vAlign w:val="center"/>
          </w:tcPr>
          <w:p>
            <w:pPr>
              <w:jc w:val="center"/>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≥90%</w:t>
            </w:r>
          </w:p>
        </w:tc>
      </w:tr>
    </w:tbl>
    <w:p>
      <w:pPr>
        <w:rPr>
          <w:rFonts w:ascii="黑体" w:hAnsi="黑体" w:eastAsia="黑体"/>
          <w:bCs/>
          <w:sz w:val="32"/>
          <w:szCs w:val="32"/>
        </w:rPr>
      </w:pPr>
      <w:r>
        <w:rPr>
          <w:rFonts w:hint="eastAsia" w:ascii="黑体" w:hAnsi="黑体" w:eastAsia="黑体"/>
          <w:bCs/>
          <w:sz w:val="32"/>
          <w:szCs w:val="32"/>
        </w:rPr>
        <w:t>附件2</w:t>
      </w:r>
    </w:p>
    <w:p>
      <w:pPr>
        <w:jc w:val="center"/>
        <w:rPr>
          <w:rFonts w:ascii="黑体" w:hAnsi="黑体" w:eastAsia="黑体"/>
          <w:bCs/>
          <w:sz w:val="36"/>
          <w:szCs w:val="36"/>
        </w:rPr>
      </w:pPr>
      <w:r>
        <w:rPr>
          <w:rFonts w:hint="eastAsia" w:ascii="黑体" w:hAnsi="黑体" w:eastAsia="黑体"/>
          <w:bCs/>
          <w:sz w:val="36"/>
          <w:szCs w:val="36"/>
        </w:rPr>
        <w:t>内蒙古自治区仿制药一致性评价</w:t>
      </w:r>
    </w:p>
    <w:p>
      <w:pPr>
        <w:jc w:val="center"/>
        <w:rPr>
          <w:rFonts w:asciiTheme="minorHAnsi" w:hAnsiTheme="minorHAnsi" w:eastAsiaTheme="minorEastAsia" w:cstheme="minorBidi"/>
          <w:sz w:val="36"/>
          <w:szCs w:val="36"/>
        </w:rPr>
      </w:pPr>
      <w:r>
        <w:rPr>
          <w:rFonts w:hint="eastAsia" w:ascii="黑体" w:hAnsi="黑体" w:eastAsia="黑体"/>
          <w:bCs/>
          <w:sz w:val="36"/>
          <w:szCs w:val="36"/>
        </w:rPr>
        <w:t>专项资金绩效评价表</w:t>
      </w:r>
    </w:p>
    <w:p>
      <w:pPr>
        <w:spacing w:line="60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FF"/>
    <w:rsid w:val="00036711"/>
    <w:rsid w:val="000677DD"/>
    <w:rsid w:val="00074D07"/>
    <w:rsid w:val="00096A7E"/>
    <w:rsid w:val="000B3B76"/>
    <w:rsid w:val="000C22CA"/>
    <w:rsid w:val="00141E1B"/>
    <w:rsid w:val="00152B37"/>
    <w:rsid w:val="00164E73"/>
    <w:rsid w:val="00173A26"/>
    <w:rsid w:val="001821E4"/>
    <w:rsid w:val="001A0A1E"/>
    <w:rsid w:val="001B3E5C"/>
    <w:rsid w:val="001D1C2D"/>
    <w:rsid w:val="001E69EB"/>
    <w:rsid w:val="001F51C2"/>
    <w:rsid w:val="0024529C"/>
    <w:rsid w:val="00290672"/>
    <w:rsid w:val="002C1CF0"/>
    <w:rsid w:val="0037030C"/>
    <w:rsid w:val="003B100B"/>
    <w:rsid w:val="003D06E9"/>
    <w:rsid w:val="003D4A13"/>
    <w:rsid w:val="003E4B24"/>
    <w:rsid w:val="004A4BE3"/>
    <w:rsid w:val="004B58E0"/>
    <w:rsid w:val="004E471B"/>
    <w:rsid w:val="00502FF6"/>
    <w:rsid w:val="00510DAC"/>
    <w:rsid w:val="00525708"/>
    <w:rsid w:val="00526BBA"/>
    <w:rsid w:val="00526BDC"/>
    <w:rsid w:val="0054797F"/>
    <w:rsid w:val="00551AC1"/>
    <w:rsid w:val="0057207E"/>
    <w:rsid w:val="005A164E"/>
    <w:rsid w:val="005A483B"/>
    <w:rsid w:val="006040C7"/>
    <w:rsid w:val="00625328"/>
    <w:rsid w:val="0064547E"/>
    <w:rsid w:val="00723371"/>
    <w:rsid w:val="00786145"/>
    <w:rsid w:val="0079269E"/>
    <w:rsid w:val="007B1E1F"/>
    <w:rsid w:val="007C6F0B"/>
    <w:rsid w:val="00822B7E"/>
    <w:rsid w:val="00843AB8"/>
    <w:rsid w:val="008D0B76"/>
    <w:rsid w:val="0091575D"/>
    <w:rsid w:val="0092197E"/>
    <w:rsid w:val="009658FF"/>
    <w:rsid w:val="009A32AB"/>
    <w:rsid w:val="009E22B8"/>
    <w:rsid w:val="00A20B68"/>
    <w:rsid w:val="00A4196A"/>
    <w:rsid w:val="00A4638A"/>
    <w:rsid w:val="00A56365"/>
    <w:rsid w:val="00AA0293"/>
    <w:rsid w:val="00AB42CC"/>
    <w:rsid w:val="00AF4739"/>
    <w:rsid w:val="00B53B65"/>
    <w:rsid w:val="00B61741"/>
    <w:rsid w:val="00B76D8E"/>
    <w:rsid w:val="00B80DAE"/>
    <w:rsid w:val="00BA609F"/>
    <w:rsid w:val="00BF218E"/>
    <w:rsid w:val="00C13228"/>
    <w:rsid w:val="00C45B44"/>
    <w:rsid w:val="00C63EB3"/>
    <w:rsid w:val="00C77794"/>
    <w:rsid w:val="00CB5AFB"/>
    <w:rsid w:val="00CE5B7F"/>
    <w:rsid w:val="00CF0C4D"/>
    <w:rsid w:val="00CF469F"/>
    <w:rsid w:val="00D2781A"/>
    <w:rsid w:val="00D40CB9"/>
    <w:rsid w:val="00D40EB0"/>
    <w:rsid w:val="00DA7C58"/>
    <w:rsid w:val="00DD43E8"/>
    <w:rsid w:val="00DD71FD"/>
    <w:rsid w:val="00DF39E4"/>
    <w:rsid w:val="00E21AC7"/>
    <w:rsid w:val="00E271AB"/>
    <w:rsid w:val="00E50137"/>
    <w:rsid w:val="00E50392"/>
    <w:rsid w:val="00E545A0"/>
    <w:rsid w:val="00E54C84"/>
    <w:rsid w:val="00E6133D"/>
    <w:rsid w:val="00E62759"/>
    <w:rsid w:val="00EB0FBC"/>
    <w:rsid w:val="00EB36E4"/>
    <w:rsid w:val="00F53441"/>
    <w:rsid w:val="00F555AC"/>
    <w:rsid w:val="00F76688"/>
    <w:rsid w:val="00F84942"/>
    <w:rsid w:val="00F85ACB"/>
    <w:rsid w:val="00FE16A7"/>
    <w:rsid w:val="1763773F"/>
    <w:rsid w:val="1B776431"/>
    <w:rsid w:val="1FF7E7C1"/>
    <w:rsid w:val="3F292448"/>
    <w:rsid w:val="4FF43C9B"/>
    <w:rsid w:val="5CB47AA0"/>
    <w:rsid w:val="5CEF6E31"/>
    <w:rsid w:val="65FD748F"/>
    <w:rsid w:val="7EFD0D73"/>
    <w:rsid w:val="7FA558A4"/>
    <w:rsid w:val="FBFF1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rFonts w:ascii="Calibri" w:hAnsi="Calibri" w:eastAsia="宋体" w:cs="Times New Roman"/>
      <w:sz w:val="18"/>
      <w:szCs w:val="18"/>
    </w:rPr>
  </w:style>
  <w:style w:type="character" w:customStyle="1" w:styleId="10">
    <w:name w:val="页脚 Char"/>
    <w:basedOn w:val="8"/>
    <w:link w:val="3"/>
    <w:qFormat/>
    <w:uiPriority w:val="99"/>
    <w:rPr>
      <w:rFonts w:ascii="Calibri" w:hAnsi="Calibri" w:eastAsia="宋体" w:cs="Times New Roman"/>
      <w:sz w:val="18"/>
      <w:szCs w:val="18"/>
    </w:rPr>
  </w:style>
  <w:style w:type="character" w:customStyle="1" w:styleId="11">
    <w:name w:val="批注框文本 Char"/>
    <w:basedOn w:val="8"/>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321</Words>
  <Characters>1832</Characters>
  <Lines>15</Lines>
  <Paragraphs>4</Paragraphs>
  <TotalTime>382</TotalTime>
  <ScaleCrop>false</ScaleCrop>
  <LinksUpToDate>false</LinksUpToDate>
  <CharactersWithSpaces>2149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2019-11-20T11:02:00Z</dcterms:created>
  <dc:creator>乌海芝</dc:creator>
  <cp:lastModifiedBy>gy</cp:lastModifiedBy>
  <cp:lastPrinted>2018-08-15T16:00:00Z</cp:lastPrinted>
  <dcterms:modified xsi:type="dcterms:W3CDTF">2024-11-21T01:04:04Z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DFADBA1DA1484D58B2882665122B8382</vt:lpwstr>
  </property>
</Properties>
</file>