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57" w:rsidRDefault="00224557" w:rsidP="00224557">
      <w:pPr>
        <w:spacing w:line="360" w:lineRule="auto"/>
        <w:rPr>
          <w:rFonts w:ascii="宋体" w:hAnsi="宋体"/>
          <w:sz w:val="32"/>
          <w:szCs w:val="32"/>
        </w:rPr>
      </w:pPr>
    </w:p>
    <w:p w:rsidR="00224557" w:rsidRDefault="00224557" w:rsidP="00224557">
      <w:pPr>
        <w:spacing w:line="360" w:lineRule="auto"/>
        <w:rPr>
          <w:rFonts w:ascii="宋体" w:hAnsi="宋体"/>
          <w:sz w:val="32"/>
          <w:szCs w:val="32"/>
        </w:rPr>
      </w:pPr>
    </w:p>
    <w:p w:rsidR="00224557" w:rsidRDefault="00224557" w:rsidP="00224557">
      <w:pPr>
        <w:spacing w:line="360" w:lineRule="auto"/>
        <w:rPr>
          <w:rFonts w:ascii="宋体" w:hAnsi="宋体"/>
          <w:sz w:val="32"/>
          <w:szCs w:val="32"/>
        </w:rPr>
      </w:pPr>
    </w:p>
    <w:p w:rsidR="00224557" w:rsidRDefault="00224557" w:rsidP="00224557">
      <w:pPr>
        <w:spacing w:line="360" w:lineRule="auto"/>
        <w:rPr>
          <w:rFonts w:ascii="宋体" w:hAnsi="宋体"/>
          <w:sz w:val="32"/>
          <w:szCs w:val="32"/>
        </w:rPr>
      </w:pPr>
      <w:bookmarkStart w:id="0" w:name="文种"/>
      <w:bookmarkEnd w:id="0"/>
    </w:p>
    <w:p w:rsidR="00675A9A" w:rsidRDefault="00D81E73" w:rsidP="00224557">
      <w:pPr>
        <w:spacing w:line="360" w:lineRule="auto"/>
        <w:jc w:val="center"/>
        <w:rPr>
          <w:rFonts w:ascii="方正小标宋简体" w:eastAsia="方正小标宋简体" w:hAnsi="宋体" w:hint="eastAsia"/>
          <w:sz w:val="44"/>
          <w:szCs w:val="44"/>
        </w:rPr>
      </w:pPr>
      <w:bookmarkStart w:id="1" w:name="文件标题"/>
      <w:bookmarkStart w:id="2" w:name="B0001"/>
      <w:bookmarkEnd w:id="1"/>
      <w:r>
        <w:rPr>
          <w:rFonts w:ascii="方正小标宋简体" w:eastAsia="方正小标宋简体" w:hAnsi="宋体" w:hint="eastAsia"/>
          <w:sz w:val="44"/>
          <w:szCs w:val="44"/>
        </w:rPr>
        <w:t>内蒙古自治区工业和信息化厅</w:t>
      </w:r>
    </w:p>
    <w:p w:rsidR="00224557" w:rsidRDefault="00D81E73" w:rsidP="00675A9A">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w:t>
      </w:r>
      <w:r>
        <w:rPr>
          <w:rFonts w:ascii="方正小标宋简体" w:eastAsia="方正小标宋简体" w:hAnsi="宋体" w:hint="eastAsia"/>
          <w:sz w:val="44"/>
          <w:szCs w:val="44"/>
        </w:rPr>
        <w:t>《内蒙古自治区工业和信息化领域数据</w:t>
      </w:r>
      <w:r>
        <w:rPr>
          <w:rFonts w:ascii="方正小标宋简体" w:eastAsia="方正小标宋简体" w:hAnsi="宋体" w:hint="eastAsia"/>
          <w:sz w:val="44"/>
          <w:szCs w:val="44"/>
        </w:rPr>
        <w:t>安全事件应急预案（试行）》的通知</w:t>
      </w:r>
      <w:bookmarkEnd w:id="2"/>
    </w:p>
    <w:p w:rsidR="00224557" w:rsidRDefault="00224557" w:rsidP="00224557">
      <w:pPr>
        <w:spacing w:line="360" w:lineRule="auto"/>
        <w:rPr>
          <w:rFonts w:ascii="宋体" w:hAnsi="宋体"/>
          <w:sz w:val="32"/>
          <w:szCs w:val="32"/>
        </w:rPr>
      </w:pPr>
    </w:p>
    <w:p w:rsidR="00224557" w:rsidRPr="00675A9A" w:rsidRDefault="00D81E73" w:rsidP="00675A9A">
      <w:pPr>
        <w:tabs>
          <w:tab w:val="right" w:pos="4257"/>
        </w:tabs>
        <w:spacing w:after="0" w:line="480" w:lineRule="auto"/>
        <w:outlineLvl w:val="0"/>
        <w:rPr>
          <w:rFonts w:asciiTheme="minorEastAsia" w:eastAsiaTheme="minorEastAsia" w:hAnsiTheme="minorEastAsia"/>
          <w:sz w:val="28"/>
          <w:szCs w:val="28"/>
        </w:rPr>
      </w:pPr>
      <w:bookmarkStart w:id="3" w:name="主送单位"/>
      <w:bookmarkStart w:id="4" w:name="C_GW_FW_0001"/>
      <w:bookmarkEnd w:id="3"/>
      <w:r w:rsidRPr="00675A9A">
        <w:rPr>
          <w:rFonts w:asciiTheme="minorEastAsia" w:eastAsiaTheme="minorEastAsia" w:hAnsiTheme="minorEastAsia" w:cs="仿宋_GB2312" w:hint="eastAsia"/>
          <w:sz w:val="28"/>
          <w:szCs w:val="28"/>
        </w:rPr>
        <w:t>各盟市工信局、二连浩特市工业和信息化局、满洲里市工信和科技局</w:t>
      </w:r>
      <w:bookmarkEnd w:id="4"/>
      <w:r w:rsidRPr="00675A9A">
        <w:rPr>
          <w:rFonts w:asciiTheme="minorEastAsia" w:eastAsiaTheme="minorEastAsia" w:hAnsiTheme="minorEastAsia" w:cs="仿宋_GB2312" w:hint="eastAsia"/>
          <w:sz w:val="28"/>
          <w:szCs w:val="28"/>
        </w:rPr>
        <w:t>：</w:t>
      </w:r>
    </w:p>
    <w:p w:rsidR="00224557" w:rsidRPr="00675A9A" w:rsidRDefault="00D81E73" w:rsidP="00675A9A">
      <w:pPr>
        <w:widowControl/>
        <w:tabs>
          <w:tab w:val="right" w:pos="4257"/>
        </w:tabs>
        <w:spacing w:after="0" w:line="480" w:lineRule="auto"/>
        <w:ind w:firstLineChars="200" w:firstLine="560"/>
        <w:outlineLvl w:val="0"/>
        <w:rPr>
          <w:rFonts w:asciiTheme="minorEastAsia" w:eastAsiaTheme="minorEastAsia" w:hAnsiTheme="minorEastAsia" w:cs="仿宋_GB2312"/>
          <w:sz w:val="28"/>
          <w:szCs w:val="28"/>
        </w:rPr>
      </w:pPr>
      <w:bookmarkStart w:id="5" w:name="内容"/>
      <w:bookmarkStart w:id="6" w:name="正文文件"/>
      <w:bookmarkEnd w:id="5"/>
      <w:bookmarkEnd w:id="6"/>
      <w:r w:rsidRPr="00675A9A">
        <w:rPr>
          <w:rFonts w:asciiTheme="minorEastAsia" w:eastAsiaTheme="minorEastAsia" w:hAnsiTheme="minorEastAsia" w:cs="仿宋_GB2312" w:hint="eastAsia"/>
          <w:sz w:val="28"/>
          <w:szCs w:val="28"/>
        </w:rPr>
        <w:t>现将《内蒙古自治区工业和信息化领域数据安全事件应急预案（试行）》印发给你们。请认真贯彻落实。</w:t>
      </w:r>
    </w:p>
    <w:p w:rsidR="00224557" w:rsidRPr="00675A9A" w:rsidRDefault="00224557" w:rsidP="00675A9A">
      <w:pPr>
        <w:tabs>
          <w:tab w:val="right" w:pos="4257"/>
        </w:tabs>
        <w:spacing w:after="0" w:line="480" w:lineRule="auto"/>
        <w:jc w:val="left"/>
        <w:outlineLvl w:val="0"/>
        <w:rPr>
          <w:rFonts w:asciiTheme="minorEastAsia" w:eastAsiaTheme="minorEastAsia" w:hAnsiTheme="minorEastAsia" w:cs="仿宋_GB2312"/>
          <w:sz w:val="28"/>
          <w:szCs w:val="28"/>
        </w:rPr>
      </w:pPr>
    </w:p>
    <w:p w:rsidR="00224557" w:rsidRPr="00675A9A" w:rsidRDefault="00D81E73" w:rsidP="00675A9A">
      <w:pPr>
        <w:tabs>
          <w:tab w:val="right" w:pos="4257"/>
        </w:tabs>
        <w:spacing w:after="0" w:line="480" w:lineRule="auto"/>
        <w:jc w:val="left"/>
        <w:outlineLvl w:val="0"/>
        <w:rPr>
          <w:rFonts w:asciiTheme="minorEastAsia" w:eastAsiaTheme="minorEastAsia" w:hAnsiTheme="minorEastAsia" w:cs="黑体"/>
          <w:sz w:val="28"/>
          <w:szCs w:val="28"/>
        </w:rPr>
      </w:pPr>
      <w:r w:rsidRPr="00675A9A">
        <w:rPr>
          <w:rFonts w:asciiTheme="minorEastAsia" w:eastAsiaTheme="minorEastAsia" w:hAnsiTheme="minorEastAsia" w:cs="仿宋_GB2312" w:hint="eastAsia"/>
          <w:sz w:val="28"/>
          <w:szCs w:val="28"/>
        </w:rPr>
        <w:t xml:space="preserve">                  </w:t>
      </w:r>
      <w:r w:rsidRPr="00675A9A">
        <w:rPr>
          <w:rFonts w:asciiTheme="minorEastAsia" w:eastAsiaTheme="minorEastAsia" w:hAnsiTheme="minorEastAsia" w:cs="仿宋_GB2312" w:hint="eastAsia"/>
          <w:sz w:val="28"/>
          <w:szCs w:val="28"/>
        </w:rPr>
        <w:t xml:space="preserve">    </w:t>
      </w:r>
      <w:r w:rsidRPr="00675A9A">
        <w:rPr>
          <w:rFonts w:asciiTheme="minorEastAsia" w:eastAsiaTheme="minorEastAsia" w:hAnsiTheme="minorEastAsia" w:cs="仿宋_GB2312" w:hint="eastAsia"/>
          <w:sz w:val="28"/>
          <w:szCs w:val="28"/>
        </w:rPr>
        <w:t xml:space="preserve">       </w:t>
      </w:r>
      <w:r w:rsidRPr="00675A9A">
        <w:rPr>
          <w:rFonts w:asciiTheme="minorEastAsia" w:eastAsiaTheme="minorEastAsia" w:hAnsiTheme="minorEastAsia" w:cs="仿宋_GB2312" w:hint="eastAsia"/>
          <w:sz w:val="28"/>
          <w:szCs w:val="28"/>
        </w:rPr>
        <w:t xml:space="preserve"> 2025</w:t>
      </w:r>
      <w:r w:rsidRPr="00675A9A">
        <w:rPr>
          <w:rFonts w:asciiTheme="minorEastAsia" w:eastAsiaTheme="minorEastAsia" w:hAnsiTheme="minorEastAsia" w:cs="仿宋_GB2312" w:hint="eastAsia"/>
          <w:sz w:val="28"/>
          <w:szCs w:val="28"/>
        </w:rPr>
        <w:t>年</w:t>
      </w:r>
      <w:r w:rsidRPr="00675A9A">
        <w:rPr>
          <w:rFonts w:asciiTheme="minorEastAsia" w:eastAsiaTheme="minorEastAsia" w:hAnsiTheme="minorEastAsia" w:cs="仿宋_GB2312" w:hint="eastAsia"/>
          <w:sz w:val="28"/>
          <w:szCs w:val="28"/>
        </w:rPr>
        <w:t>5</w:t>
      </w:r>
      <w:r w:rsidRPr="00675A9A">
        <w:rPr>
          <w:rFonts w:asciiTheme="minorEastAsia" w:eastAsiaTheme="minorEastAsia" w:hAnsiTheme="minorEastAsia" w:cs="仿宋_GB2312" w:hint="eastAsia"/>
          <w:sz w:val="28"/>
          <w:szCs w:val="28"/>
        </w:rPr>
        <w:t>月</w:t>
      </w:r>
      <w:r w:rsidRPr="00675A9A">
        <w:rPr>
          <w:rFonts w:asciiTheme="minorEastAsia" w:eastAsiaTheme="minorEastAsia" w:hAnsiTheme="minorEastAsia" w:cs="仿宋_GB2312" w:hint="eastAsia"/>
          <w:sz w:val="28"/>
          <w:szCs w:val="28"/>
        </w:rPr>
        <w:t>20</w:t>
      </w:r>
      <w:r w:rsidRPr="00675A9A">
        <w:rPr>
          <w:rFonts w:asciiTheme="minorEastAsia" w:eastAsiaTheme="minorEastAsia" w:hAnsiTheme="minorEastAsia" w:cs="仿宋_GB2312" w:hint="eastAsia"/>
          <w:sz w:val="28"/>
          <w:szCs w:val="28"/>
        </w:rPr>
        <w:t>日</w:t>
      </w:r>
    </w:p>
    <w:p w:rsidR="00224557" w:rsidRPr="00675A9A" w:rsidRDefault="00D81E73" w:rsidP="00675A9A">
      <w:pPr>
        <w:keepNext/>
        <w:overflowPunct w:val="0"/>
        <w:spacing w:after="0" w:line="480" w:lineRule="auto"/>
        <w:jc w:val="center"/>
        <w:rPr>
          <w:rFonts w:asciiTheme="minorEastAsia" w:eastAsiaTheme="minorEastAsia" w:hAnsiTheme="minorEastAsia" w:cs="方正小标宋简体"/>
          <w:sz w:val="28"/>
          <w:szCs w:val="28"/>
        </w:rPr>
      </w:pPr>
      <w:r w:rsidRPr="00675A9A">
        <w:rPr>
          <w:rFonts w:asciiTheme="minorEastAsia" w:eastAsiaTheme="minorEastAsia" w:hAnsiTheme="minorEastAsia" w:cs="方正小标宋简体" w:hint="eastAsia"/>
          <w:sz w:val="28"/>
          <w:szCs w:val="28"/>
        </w:rPr>
        <w:lastRenderedPageBreak/>
        <w:t>内蒙古自治区</w:t>
      </w:r>
      <w:r w:rsidRPr="00675A9A">
        <w:rPr>
          <w:rFonts w:asciiTheme="minorEastAsia" w:eastAsiaTheme="minorEastAsia" w:hAnsiTheme="minorEastAsia" w:cs="方正小标宋简体" w:hint="eastAsia"/>
          <w:sz w:val="28"/>
          <w:szCs w:val="28"/>
        </w:rPr>
        <w:t>工业和信息化领域数据</w:t>
      </w:r>
      <w:r w:rsidRPr="00675A9A">
        <w:rPr>
          <w:rFonts w:asciiTheme="minorEastAsia" w:eastAsiaTheme="minorEastAsia" w:hAnsiTheme="minorEastAsia" w:cs="方正小标宋简体" w:hint="eastAsia"/>
          <w:sz w:val="28"/>
          <w:szCs w:val="28"/>
        </w:rPr>
        <w:t>安全</w:t>
      </w:r>
      <w:r w:rsidRPr="00675A9A">
        <w:rPr>
          <w:rFonts w:asciiTheme="minorEastAsia" w:eastAsiaTheme="minorEastAsia" w:hAnsiTheme="minorEastAsia" w:cs="方正小标宋简体" w:hint="eastAsia"/>
          <w:sz w:val="28"/>
          <w:szCs w:val="28"/>
        </w:rPr>
        <w:t>事件应急预案</w:t>
      </w:r>
      <w:r w:rsidRPr="00675A9A">
        <w:rPr>
          <w:rFonts w:asciiTheme="minorEastAsia" w:eastAsiaTheme="minorEastAsia" w:hAnsiTheme="minorEastAsia" w:cs="方正小标宋简体" w:hint="eastAsia"/>
          <w:sz w:val="28"/>
          <w:szCs w:val="28"/>
        </w:rPr>
        <w:t>（试行）</w:t>
      </w:r>
    </w:p>
    <w:p w:rsidR="00224557" w:rsidRPr="00675A9A" w:rsidRDefault="00224557" w:rsidP="00675A9A">
      <w:pPr>
        <w:keepNext/>
        <w:overflowPunct w:val="0"/>
        <w:spacing w:after="0" w:line="480" w:lineRule="auto"/>
        <w:jc w:val="center"/>
        <w:rPr>
          <w:rFonts w:asciiTheme="minorEastAsia" w:eastAsiaTheme="minorEastAsia" w:hAnsiTheme="minorEastAsia"/>
          <w:sz w:val="28"/>
          <w:szCs w:val="28"/>
        </w:rPr>
      </w:pPr>
    </w:p>
    <w:p w:rsidR="00224557" w:rsidRPr="00675A9A" w:rsidRDefault="00D81E73" w:rsidP="00675A9A">
      <w:pPr>
        <w:pStyle w:val="10"/>
        <w:overflowPunct w:val="0"/>
        <w:autoSpaceDE w:val="0"/>
        <w:autoSpaceDN w:val="0"/>
        <w:spacing w:after="0" w:line="480" w:lineRule="auto"/>
        <w:ind w:firstLineChars="200" w:firstLine="560"/>
        <w:textAlignment w:val="baseline"/>
        <w:rPr>
          <w:rFonts w:asciiTheme="minorEastAsia" w:hAnsiTheme="minorEastAsia" w:cs="黑体"/>
          <w:b w:val="0"/>
          <w:bCs/>
          <w:sz w:val="28"/>
          <w:szCs w:val="28"/>
        </w:rPr>
      </w:pPr>
      <w:r w:rsidRPr="00675A9A">
        <w:rPr>
          <w:rFonts w:asciiTheme="minorEastAsia" w:hAnsiTheme="minorEastAsia" w:cs="黑体" w:hint="eastAsia"/>
          <w:b w:val="0"/>
          <w:bCs/>
          <w:sz w:val="28"/>
          <w:szCs w:val="28"/>
        </w:rPr>
        <w:t>一、总则</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（一）编制目的</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建立健全内蒙古自治区工业和信息化领域数据安全事件应急组织体系和工作机制，提高自治区数据安全事件综合应对能力，确保及时有效地控制、减轻和消除数据安全事件造成的危害和损失，保护个人、组织的合法权益，维护国家安全和公共利益。</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（二）编制依据</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依据《国家工业信息安全事件应急预案》《中华人民共和国突发事件应对法》《中华人民共和国数据安全法》《中华人民共和国网络安全法》《中华人民共和国个人信息保护法》等法律法规和工信部《工业和信息化领域数据安全管理办法（试行）》《工业和信息化领域数据安全事件应急预案（</w:t>
      </w:r>
      <w:r w:rsidRPr="00675A9A">
        <w:rPr>
          <w:rFonts w:asciiTheme="minorEastAsia" w:eastAsiaTheme="minorEastAsia" w:hAnsiTheme="minorEastAsia" w:cs="仿宋_GB2312" w:hint="eastAsia"/>
          <w:sz w:val="28"/>
          <w:szCs w:val="28"/>
        </w:rPr>
        <w:t>试行</w:t>
      </w:r>
      <w:r w:rsidRPr="00675A9A">
        <w:rPr>
          <w:rFonts w:asciiTheme="minorEastAsia" w:eastAsiaTheme="minorEastAsia" w:hAnsiTheme="minorEastAsia" w:cs="仿宋_GB2312" w:hint="eastAsia"/>
          <w:sz w:val="28"/>
          <w:szCs w:val="28"/>
        </w:rPr>
        <w:t>）》等相关政</w:t>
      </w:r>
      <w:r w:rsidRPr="00675A9A">
        <w:rPr>
          <w:rFonts w:asciiTheme="minorEastAsia" w:eastAsiaTheme="minorEastAsia" w:hAnsiTheme="minorEastAsia" w:cs="仿宋_GB2312" w:hint="eastAsia"/>
          <w:sz w:val="28"/>
          <w:szCs w:val="28"/>
        </w:rPr>
        <w:t>策制度。内蒙古自治区工业和信息化</w:t>
      </w:r>
      <w:proofErr w:type="gramStart"/>
      <w:r w:rsidRPr="00675A9A">
        <w:rPr>
          <w:rFonts w:asciiTheme="minorEastAsia" w:eastAsiaTheme="minorEastAsia" w:hAnsiTheme="minorEastAsia" w:cs="仿宋_GB2312" w:hint="eastAsia"/>
          <w:sz w:val="28"/>
          <w:szCs w:val="28"/>
        </w:rPr>
        <w:t>厅结合</w:t>
      </w:r>
      <w:proofErr w:type="gramEnd"/>
      <w:r w:rsidRPr="00675A9A">
        <w:rPr>
          <w:rFonts w:asciiTheme="minorEastAsia" w:eastAsiaTheme="minorEastAsia" w:hAnsiTheme="minorEastAsia" w:cs="仿宋_GB2312" w:hint="eastAsia"/>
          <w:sz w:val="28"/>
          <w:szCs w:val="28"/>
        </w:rPr>
        <w:t>内蒙古自治区工业和信息化领域数据安全实际情况，制定本预案。</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（三）适用范围</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在内蒙古自治区境内发生的工业和信息化领域数据安全事件应急处置活动，应当遵守相关法律、行政法规和本预案的要求。</w:t>
      </w: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工信厅对</w:t>
      </w:r>
      <w:proofErr w:type="gramEnd"/>
      <w:r w:rsidRPr="00675A9A">
        <w:rPr>
          <w:rFonts w:asciiTheme="minorEastAsia" w:eastAsiaTheme="minorEastAsia" w:hAnsiTheme="minorEastAsia" w:cs="仿宋_GB2312" w:hint="eastAsia"/>
          <w:sz w:val="28"/>
          <w:szCs w:val="28"/>
        </w:rPr>
        <w:t>重大活动期间数据安全应急处置工作另有规定的，从其规定。</w:t>
      </w:r>
      <w:r w:rsidRPr="00675A9A">
        <w:rPr>
          <w:rFonts w:asciiTheme="minorEastAsia" w:eastAsiaTheme="minorEastAsia" w:hAnsiTheme="minorEastAsia" w:cs="仿宋_GB2312" w:hint="eastAsia"/>
          <w:sz w:val="28"/>
          <w:szCs w:val="28"/>
        </w:rPr>
        <w:t>因数据安全事件导致安全生产事故发生的，依照其安全生产有关规定处置。</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（四）事件定义</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lastRenderedPageBreak/>
        <w:t>本预案</w:t>
      </w:r>
      <w:r w:rsidRPr="00675A9A">
        <w:rPr>
          <w:rFonts w:asciiTheme="minorEastAsia" w:eastAsiaTheme="minorEastAsia" w:hAnsiTheme="minorEastAsia" w:cs="仿宋_GB2312" w:hint="eastAsia"/>
          <w:sz w:val="28"/>
          <w:szCs w:val="28"/>
        </w:rPr>
        <w:t>数据安全事件，是</w:t>
      </w:r>
      <w:proofErr w:type="gramStart"/>
      <w:r w:rsidRPr="00675A9A">
        <w:rPr>
          <w:rFonts w:asciiTheme="minorEastAsia" w:eastAsiaTheme="minorEastAsia" w:hAnsiTheme="minorEastAsia" w:cs="仿宋_GB2312" w:hint="eastAsia"/>
          <w:sz w:val="28"/>
          <w:szCs w:val="28"/>
        </w:rPr>
        <w:t>指数据</w:t>
      </w:r>
      <w:r w:rsidRPr="00675A9A">
        <w:rPr>
          <w:rFonts w:asciiTheme="minorEastAsia" w:eastAsiaTheme="minorEastAsia" w:hAnsiTheme="minorEastAsia" w:cs="仿宋_GB2312" w:hint="eastAsia"/>
          <w:sz w:val="28"/>
          <w:szCs w:val="28"/>
        </w:rPr>
        <w:t>遭</w:t>
      </w:r>
      <w:r w:rsidRPr="00675A9A">
        <w:rPr>
          <w:rFonts w:asciiTheme="minorEastAsia" w:eastAsiaTheme="minorEastAsia" w:hAnsiTheme="minorEastAsia" w:cs="仿宋_GB2312" w:hint="eastAsia"/>
          <w:sz w:val="28"/>
          <w:szCs w:val="28"/>
        </w:rPr>
        <w:t>篡改</w:t>
      </w:r>
      <w:proofErr w:type="gramEnd"/>
      <w:r w:rsidRPr="00675A9A">
        <w:rPr>
          <w:rFonts w:asciiTheme="minorEastAsia" w:eastAsiaTheme="minorEastAsia" w:hAnsiTheme="minorEastAsia" w:cs="仿宋_GB2312" w:hint="eastAsia"/>
          <w:sz w:val="28"/>
          <w:szCs w:val="28"/>
        </w:rPr>
        <w:t>、破坏、泄露或者非法获取、非法利用，对国家安全、公共利益或者个人、组织合法权益造成危害的事件。</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bookmarkStart w:id="7" w:name="_Toc333814962"/>
      <w:bookmarkStart w:id="8" w:name="_Toc12350"/>
      <w:bookmarkStart w:id="9" w:name="_Toc483233148"/>
      <w:bookmarkStart w:id="10" w:name="_Toc525046024"/>
      <w:bookmarkStart w:id="11" w:name="_Toc50459353"/>
      <w:r w:rsidRPr="00675A9A">
        <w:rPr>
          <w:rFonts w:asciiTheme="minorEastAsia" w:eastAsiaTheme="minorEastAsia" w:hAnsiTheme="minorEastAsia" w:cs="楷体" w:hint="eastAsia"/>
          <w:b/>
          <w:bCs/>
          <w:sz w:val="28"/>
          <w:szCs w:val="28"/>
        </w:rPr>
        <w:t>（五</w:t>
      </w:r>
      <w:r w:rsidRPr="00675A9A">
        <w:rPr>
          <w:rFonts w:asciiTheme="minorEastAsia" w:eastAsiaTheme="minorEastAsia" w:hAnsiTheme="minorEastAsia" w:cs="楷体" w:hint="eastAsia"/>
          <w:b/>
          <w:bCs/>
          <w:sz w:val="28"/>
          <w:szCs w:val="28"/>
        </w:rPr>
        <w:t>）事件分级</w:t>
      </w:r>
      <w:bookmarkEnd w:id="7"/>
      <w:bookmarkEnd w:id="8"/>
      <w:bookmarkEnd w:id="9"/>
      <w:bookmarkEnd w:id="10"/>
      <w:bookmarkEnd w:id="11"/>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根据数据安全事件对国家安全、企业网络设施和信息系统、生产运营、经济运行等造成的影响范围和危害程度，将数据安全事件分为：特别重大（Ⅰ级）、重大（Ⅱ级）、较大（Ⅲ级）和一般（Ⅳ级）四个级别（</w:t>
      </w:r>
      <w:r w:rsidRPr="00675A9A">
        <w:rPr>
          <w:rFonts w:asciiTheme="minorEastAsia" w:eastAsiaTheme="minorEastAsia" w:hAnsiTheme="minorEastAsia" w:cs="仿宋_GB2312" w:hint="eastAsia"/>
          <w:sz w:val="28"/>
          <w:szCs w:val="28"/>
        </w:rPr>
        <w:t>见附件</w:t>
      </w:r>
      <w:r w:rsidRPr="00675A9A">
        <w:rPr>
          <w:rFonts w:asciiTheme="minorEastAsia" w:eastAsiaTheme="minorEastAsia" w:hAnsiTheme="minorEastAsia" w:cs="仿宋_GB2312" w:hint="eastAsia"/>
          <w:sz w:val="28"/>
          <w:szCs w:val="28"/>
        </w:rPr>
        <w:t>1</w:t>
      </w:r>
      <w:r w:rsidRPr="00675A9A">
        <w:rPr>
          <w:rFonts w:asciiTheme="minorEastAsia" w:eastAsiaTheme="minorEastAsia" w:hAnsiTheme="minorEastAsia" w:cs="仿宋_GB2312" w:hint="eastAsia"/>
          <w:sz w:val="28"/>
          <w:szCs w:val="28"/>
        </w:rPr>
        <w:t>）。</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（六）工作原则</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数据安全事件应急工作应当坚持统一领导、分级负责。坚持统一指挥、密切协同、快速反应、科学处置。坚持“谁管业务、谁管业务数据、谁管数据安全”，落实数据处理者的数据安全主体责任。坚持充分发挥各方面力量，共同做好数据安全</w:t>
      </w:r>
      <w:r w:rsidRPr="00675A9A">
        <w:rPr>
          <w:rFonts w:asciiTheme="minorEastAsia" w:eastAsiaTheme="minorEastAsia" w:hAnsiTheme="minorEastAsia" w:cs="仿宋_GB2312" w:hint="eastAsia"/>
          <w:sz w:val="28"/>
          <w:szCs w:val="28"/>
        </w:rPr>
        <w:t>应急处置工作。</w:t>
      </w:r>
    </w:p>
    <w:p w:rsidR="00224557" w:rsidRPr="00675A9A" w:rsidRDefault="00D81E73" w:rsidP="00675A9A">
      <w:pPr>
        <w:pStyle w:val="10"/>
        <w:overflowPunct w:val="0"/>
        <w:autoSpaceDE w:val="0"/>
        <w:autoSpaceDN w:val="0"/>
        <w:spacing w:after="0" w:line="480" w:lineRule="auto"/>
        <w:ind w:firstLineChars="200" w:firstLine="560"/>
        <w:textAlignment w:val="baseline"/>
        <w:rPr>
          <w:rFonts w:asciiTheme="minorEastAsia" w:hAnsiTheme="minorEastAsia" w:cs="黑体"/>
          <w:b w:val="0"/>
          <w:bCs/>
          <w:sz w:val="28"/>
          <w:szCs w:val="28"/>
        </w:rPr>
      </w:pPr>
      <w:r w:rsidRPr="00675A9A">
        <w:rPr>
          <w:rFonts w:asciiTheme="minorEastAsia" w:hAnsiTheme="minorEastAsia" w:cs="黑体" w:hint="eastAsia"/>
          <w:b w:val="0"/>
          <w:bCs/>
          <w:sz w:val="28"/>
          <w:szCs w:val="28"/>
        </w:rPr>
        <w:t>二、</w:t>
      </w:r>
      <w:r w:rsidRPr="00675A9A">
        <w:rPr>
          <w:rFonts w:asciiTheme="minorEastAsia" w:hAnsiTheme="minorEastAsia" w:cs="黑体" w:hint="eastAsia"/>
          <w:b w:val="0"/>
          <w:bCs/>
          <w:sz w:val="28"/>
          <w:szCs w:val="28"/>
        </w:rPr>
        <w:t>组织体系</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（一）自治区工业和信息化厅职责</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成立</w:t>
      </w:r>
      <w:r w:rsidRPr="00675A9A">
        <w:rPr>
          <w:rFonts w:asciiTheme="minorEastAsia" w:eastAsiaTheme="minorEastAsia" w:hAnsiTheme="minorEastAsia" w:cs="仿宋_GB2312" w:hint="eastAsia"/>
          <w:sz w:val="28"/>
          <w:szCs w:val="28"/>
        </w:rPr>
        <w:t>自治区</w:t>
      </w:r>
      <w:r w:rsidRPr="00675A9A">
        <w:rPr>
          <w:rFonts w:asciiTheme="minorEastAsia" w:eastAsiaTheme="minorEastAsia" w:hAnsiTheme="minorEastAsia" w:cs="仿宋_GB2312" w:hint="eastAsia"/>
          <w:sz w:val="28"/>
          <w:szCs w:val="28"/>
        </w:rPr>
        <w:t>工业和信息化</w:t>
      </w:r>
      <w:proofErr w:type="gramStart"/>
      <w:r w:rsidRPr="00675A9A">
        <w:rPr>
          <w:rFonts w:asciiTheme="minorEastAsia" w:eastAsiaTheme="minorEastAsia" w:hAnsiTheme="minorEastAsia" w:cs="仿宋_GB2312" w:hint="eastAsia"/>
          <w:sz w:val="28"/>
          <w:szCs w:val="28"/>
        </w:rPr>
        <w:t>厅</w:t>
      </w:r>
      <w:r w:rsidRPr="00675A9A">
        <w:rPr>
          <w:rFonts w:asciiTheme="minorEastAsia" w:eastAsiaTheme="minorEastAsia" w:hAnsiTheme="minorEastAsia" w:cs="仿宋_GB2312" w:hint="eastAsia"/>
          <w:sz w:val="28"/>
          <w:szCs w:val="28"/>
        </w:rPr>
        <w:t>工业</w:t>
      </w:r>
      <w:proofErr w:type="gramEnd"/>
      <w:r w:rsidRPr="00675A9A">
        <w:rPr>
          <w:rFonts w:asciiTheme="minorEastAsia" w:eastAsiaTheme="minorEastAsia" w:hAnsiTheme="minorEastAsia" w:cs="仿宋_GB2312" w:hint="eastAsia"/>
          <w:sz w:val="28"/>
          <w:szCs w:val="28"/>
        </w:rPr>
        <w:t>领域</w:t>
      </w:r>
      <w:r w:rsidRPr="00675A9A">
        <w:rPr>
          <w:rFonts w:asciiTheme="minorEastAsia" w:eastAsiaTheme="minorEastAsia" w:hAnsiTheme="minorEastAsia" w:cs="仿宋_GB2312" w:hint="eastAsia"/>
          <w:sz w:val="28"/>
          <w:szCs w:val="28"/>
        </w:rPr>
        <w:t>信息化和</w:t>
      </w:r>
      <w:r w:rsidRPr="00675A9A">
        <w:rPr>
          <w:rFonts w:asciiTheme="minorEastAsia" w:eastAsiaTheme="minorEastAsia" w:hAnsiTheme="minorEastAsia" w:cs="仿宋_GB2312" w:hint="eastAsia"/>
          <w:sz w:val="28"/>
          <w:szCs w:val="28"/>
        </w:rPr>
        <w:t>数据</w:t>
      </w:r>
      <w:r w:rsidRPr="00675A9A">
        <w:rPr>
          <w:rFonts w:asciiTheme="minorEastAsia" w:eastAsiaTheme="minorEastAsia" w:hAnsiTheme="minorEastAsia" w:cs="仿宋_GB2312" w:hint="eastAsia"/>
          <w:sz w:val="28"/>
          <w:szCs w:val="28"/>
        </w:rPr>
        <w:t>网络</w:t>
      </w:r>
      <w:r w:rsidRPr="00675A9A">
        <w:rPr>
          <w:rFonts w:asciiTheme="minorEastAsia" w:eastAsiaTheme="minorEastAsia" w:hAnsiTheme="minorEastAsia" w:cs="仿宋_GB2312" w:hint="eastAsia"/>
          <w:sz w:val="28"/>
          <w:szCs w:val="28"/>
        </w:rPr>
        <w:t>安全</w:t>
      </w:r>
      <w:r w:rsidRPr="00675A9A">
        <w:rPr>
          <w:rFonts w:asciiTheme="minorEastAsia" w:eastAsiaTheme="minorEastAsia" w:hAnsiTheme="minorEastAsia" w:cs="仿宋_GB2312" w:hint="eastAsia"/>
          <w:sz w:val="28"/>
          <w:szCs w:val="28"/>
        </w:rPr>
        <w:t>领导小组，</w:t>
      </w:r>
      <w:r w:rsidRPr="00675A9A">
        <w:rPr>
          <w:rFonts w:asciiTheme="minorEastAsia" w:eastAsiaTheme="minorEastAsia" w:hAnsiTheme="minorEastAsia" w:cs="仿宋_GB2312" w:hint="eastAsia"/>
          <w:sz w:val="28"/>
          <w:szCs w:val="28"/>
        </w:rPr>
        <w:t>在</w:t>
      </w:r>
      <w:r w:rsidRPr="00675A9A">
        <w:rPr>
          <w:rFonts w:asciiTheme="minorEastAsia" w:eastAsiaTheme="minorEastAsia" w:hAnsiTheme="minorEastAsia" w:cs="仿宋_GB2312" w:hint="eastAsia"/>
          <w:sz w:val="28"/>
          <w:szCs w:val="28"/>
        </w:rPr>
        <w:t>工信部和</w:t>
      </w:r>
      <w:r w:rsidRPr="00675A9A">
        <w:rPr>
          <w:rFonts w:asciiTheme="minorEastAsia" w:eastAsiaTheme="minorEastAsia" w:hAnsiTheme="minorEastAsia" w:cs="仿宋_GB2312" w:hint="eastAsia"/>
          <w:sz w:val="28"/>
          <w:szCs w:val="28"/>
        </w:rPr>
        <w:t>内蒙古自治区数据安全工作协调机制统筹协调下，</w:t>
      </w:r>
      <w:r w:rsidRPr="00675A9A">
        <w:rPr>
          <w:rFonts w:asciiTheme="minorEastAsia" w:eastAsiaTheme="minorEastAsia" w:hAnsiTheme="minorEastAsia" w:cs="仿宋_GB2312" w:hint="eastAsia"/>
          <w:sz w:val="28"/>
          <w:szCs w:val="28"/>
        </w:rPr>
        <w:t>该领导小组</w:t>
      </w:r>
      <w:r w:rsidRPr="00675A9A">
        <w:rPr>
          <w:rFonts w:asciiTheme="minorEastAsia" w:eastAsiaTheme="minorEastAsia" w:hAnsiTheme="minorEastAsia" w:cs="仿宋_GB2312" w:hint="eastAsia"/>
          <w:sz w:val="28"/>
          <w:szCs w:val="28"/>
        </w:rPr>
        <w:t>负责</w:t>
      </w:r>
      <w:r w:rsidRPr="00675A9A">
        <w:rPr>
          <w:rFonts w:asciiTheme="minorEastAsia" w:eastAsiaTheme="minorEastAsia" w:hAnsiTheme="minorEastAsia" w:cs="仿宋_GB2312" w:hint="eastAsia"/>
          <w:sz w:val="28"/>
          <w:szCs w:val="28"/>
        </w:rPr>
        <w:t>统一领导</w:t>
      </w:r>
      <w:r w:rsidRPr="00675A9A">
        <w:rPr>
          <w:rFonts w:asciiTheme="minorEastAsia" w:eastAsiaTheme="minorEastAsia" w:hAnsiTheme="minorEastAsia" w:cs="仿宋_GB2312" w:hint="eastAsia"/>
          <w:sz w:val="28"/>
          <w:szCs w:val="28"/>
        </w:rPr>
        <w:t>各盟市、旗县（区）开展工业和信息化领域数据安全事件应急处置工作，负责工业和信息化领域数据安全事件应急处置工作的统一指挥和协调。</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设立</w:t>
      </w:r>
      <w:r w:rsidRPr="00675A9A">
        <w:rPr>
          <w:rFonts w:asciiTheme="minorEastAsia" w:eastAsiaTheme="minorEastAsia" w:hAnsiTheme="minorEastAsia" w:cs="仿宋_GB2312" w:hint="eastAsia"/>
          <w:sz w:val="28"/>
          <w:szCs w:val="28"/>
        </w:rPr>
        <w:t>领导小组办公室</w:t>
      </w:r>
      <w:r w:rsidRPr="00675A9A">
        <w:rPr>
          <w:rFonts w:asciiTheme="minorEastAsia" w:eastAsiaTheme="minorEastAsia" w:hAnsiTheme="minorEastAsia" w:hint="eastAsia"/>
          <w:sz w:val="28"/>
          <w:szCs w:val="28"/>
        </w:rPr>
        <w:t>，</w:t>
      </w:r>
      <w:r w:rsidRPr="00675A9A">
        <w:rPr>
          <w:rFonts w:asciiTheme="minorEastAsia" w:eastAsiaTheme="minorEastAsia" w:hAnsiTheme="minorEastAsia" w:cs="仿宋_GB2312" w:hint="eastAsia"/>
          <w:sz w:val="28"/>
          <w:szCs w:val="28"/>
        </w:rPr>
        <w:t>具体工作由信息化和软件服务业处牵头承担，</w:t>
      </w:r>
      <w:r w:rsidRPr="00675A9A">
        <w:rPr>
          <w:rFonts w:asciiTheme="minorEastAsia" w:eastAsiaTheme="minorEastAsia" w:hAnsiTheme="minorEastAsia" w:cs="仿宋_GB2312" w:hint="eastAsia"/>
          <w:sz w:val="28"/>
          <w:szCs w:val="28"/>
        </w:rPr>
        <w:lastRenderedPageBreak/>
        <w:t>形成工业和信息化领域数据安全应急</w:t>
      </w:r>
      <w:r w:rsidRPr="00675A9A">
        <w:rPr>
          <w:rFonts w:asciiTheme="minorEastAsia" w:eastAsiaTheme="minorEastAsia" w:hAnsiTheme="minorEastAsia" w:cs="仿宋_GB2312" w:hint="eastAsia"/>
          <w:sz w:val="28"/>
          <w:szCs w:val="28"/>
        </w:rPr>
        <w:t>工作机制</w:t>
      </w:r>
      <w:r w:rsidRPr="00675A9A">
        <w:rPr>
          <w:rFonts w:asciiTheme="minorEastAsia" w:eastAsiaTheme="minorEastAsia" w:hAnsiTheme="minorEastAsia" w:cs="仿宋_GB2312" w:hint="eastAsia"/>
          <w:sz w:val="28"/>
          <w:szCs w:val="28"/>
        </w:rPr>
        <w:t>，</w:t>
      </w:r>
      <w:r w:rsidRPr="00675A9A">
        <w:rPr>
          <w:rFonts w:asciiTheme="minorEastAsia" w:eastAsiaTheme="minorEastAsia" w:hAnsiTheme="minorEastAsia" w:cs="仿宋_GB2312" w:hint="eastAsia"/>
          <w:sz w:val="28"/>
          <w:szCs w:val="28"/>
        </w:rPr>
        <w:t>在</w:t>
      </w:r>
      <w:r w:rsidRPr="00675A9A">
        <w:rPr>
          <w:rFonts w:asciiTheme="minorEastAsia" w:eastAsiaTheme="minorEastAsia" w:hAnsiTheme="minorEastAsia" w:cs="仿宋_GB2312" w:hint="eastAsia"/>
          <w:sz w:val="28"/>
          <w:szCs w:val="28"/>
        </w:rPr>
        <w:t>领导小组</w:t>
      </w:r>
      <w:r w:rsidRPr="00675A9A">
        <w:rPr>
          <w:rFonts w:asciiTheme="minorEastAsia" w:eastAsiaTheme="minorEastAsia" w:hAnsiTheme="minorEastAsia" w:cs="仿宋_GB2312" w:hint="eastAsia"/>
          <w:sz w:val="28"/>
          <w:szCs w:val="28"/>
        </w:rPr>
        <w:t>统一领导下，负责统筹开展数据安全应急处置工作。及时向</w:t>
      </w:r>
      <w:r w:rsidRPr="00675A9A">
        <w:rPr>
          <w:rFonts w:asciiTheme="minorEastAsia" w:eastAsiaTheme="minorEastAsia" w:hAnsiTheme="minorEastAsia" w:cs="仿宋_GB2312" w:hint="eastAsia"/>
          <w:sz w:val="28"/>
          <w:szCs w:val="28"/>
        </w:rPr>
        <w:t>领导小组</w:t>
      </w:r>
      <w:r w:rsidRPr="00675A9A">
        <w:rPr>
          <w:rFonts w:asciiTheme="minorEastAsia" w:eastAsiaTheme="minorEastAsia" w:hAnsiTheme="minorEastAsia" w:cs="仿宋_GB2312" w:hint="eastAsia"/>
          <w:sz w:val="28"/>
          <w:szCs w:val="28"/>
        </w:rPr>
        <w:t>报告数据安全事件情况，提出</w:t>
      </w:r>
      <w:r w:rsidRPr="00675A9A">
        <w:rPr>
          <w:rFonts w:asciiTheme="minorEastAsia" w:eastAsiaTheme="minorEastAsia" w:hAnsiTheme="minorEastAsia" w:cs="仿宋_GB2312" w:hint="eastAsia"/>
          <w:sz w:val="28"/>
          <w:szCs w:val="28"/>
        </w:rPr>
        <w:t>重</w:t>
      </w:r>
      <w:r w:rsidRPr="00675A9A">
        <w:rPr>
          <w:rFonts w:asciiTheme="minorEastAsia" w:eastAsiaTheme="minorEastAsia" w:hAnsiTheme="minorEastAsia" w:cs="仿宋_GB2312" w:hint="eastAsia"/>
          <w:sz w:val="28"/>
          <w:szCs w:val="28"/>
        </w:rPr>
        <w:t>大数据安全事件应对措施建议。负责</w:t>
      </w:r>
      <w:r w:rsidRPr="00675A9A">
        <w:rPr>
          <w:rFonts w:asciiTheme="minorEastAsia" w:eastAsiaTheme="minorEastAsia" w:hAnsiTheme="minorEastAsia" w:cs="仿宋_GB2312" w:hint="eastAsia"/>
          <w:sz w:val="28"/>
          <w:szCs w:val="28"/>
        </w:rPr>
        <w:t>较大</w:t>
      </w:r>
      <w:r w:rsidRPr="00675A9A">
        <w:rPr>
          <w:rFonts w:asciiTheme="minorEastAsia" w:eastAsiaTheme="minorEastAsia" w:hAnsiTheme="minorEastAsia" w:cs="仿宋_GB2312" w:hint="eastAsia"/>
          <w:sz w:val="28"/>
          <w:szCs w:val="28"/>
        </w:rPr>
        <w:t>数据安全事件的统一指挥和协调处置。根据需要协调一般数据安全事件应急处置工作。</w:t>
      </w:r>
    </w:p>
    <w:p w:rsidR="00224557" w:rsidRPr="00675A9A" w:rsidRDefault="00D81E73" w:rsidP="00675A9A">
      <w:pPr>
        <w:keepNext/>
        <w:numPr>
          <w:ilvl w:val="0"/>
          <w:numId w:val="3"/>
        </w:numPr>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bookmarkStart w:id="12" w:name="_Toc50459365"/>
      <w:bookmarkStart w:id="13" w:name="_Toc5313"/>
      <w:bookmarkStart w:id="14" w:name="_Toc525046031"/>
      <w:r w:rsidRPr="00675A9A">
        <w:rPr>
          <w:rFonts w:asciiTheme="minorEastAsia" w:eastAsiaTheme="minorEastAsia" w:hAnsiTheme="minorEastAsia" w:cs="楷体" w:hint="eastAsia"/>
          <w:b/>
          <w:bCs/>
          <w:sz w:val="28"/>
          <w:szCs w:val="28"/>
        </w:rPr>
        <w:t>各盟市、旗县（区）工信部门职责</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各盟市、旗县（区）工信部门应成立工业</w:t>
      </w:r>
      <w:r w:rsidRPr="00675A9A">
        <w:rPr>
          <w:rFonts w:asciiTheme="minorEastAsia" w:eastAsiaTheme="minorEastAsia" w:hAnsiTheme="minorEastAsia" w:cs="仿宋_GB2312" w:hint="eastAsia"/>
          <w:sz w:val="28"/>
          <w:szCs w:val="28"/>
        </w:rPr>
        <w:t>领域</w:t>
      </w:r>
      <w:r w:rsidRPr="00675A9A">
        <w:rPr>
          <w:rFonts w:asciiTheme="minorEastAsia" w:eastAsiaTheme="minorEastAsia" w:hAnsiTheme="minorEastAsia" w:cs="仿宋_GB2312" w:hint="eastAsia"/>
          <w:sz w:val="28"/>
          <w:szCs w:val="28"/>
        </w:rPr>
        <w:t>信息化和</w:t>
      </w:r>
      <w:r w:rsidRPr="00675A9A">
        <w:rPr>
          <w:rFonts w:asciiTheme="minorEastAsia" w:eastAsiaTheme="minorEastAsia" w:hAnsiTheme="minorEastAsia" w:cs="仿宋_GB2312" w:hint="eastAsia"/>
          <w:sz w:val="28"/>
          <w:szCs w:val="28"/>
        </w:rPr>
        <w:t>数据安全事件应急领导小组，指导协调辖区内工业企业的数据安全事件预警、监测、通报和应急响应工作，主要任务包括：</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1.</w:t>
      </w:r>
      <w:r w:rsidRPr="00675A9A">
        <w:rPr>
          <w:rFonts w:asciiTheme="minorEastAsia" w:eastAsiaTheme="minorEastAsia" w:hAnsiTheme="minorEastAsia" w:cs="仿宋_GB2312" w:hint="eastAsia"/>
          <w:sz w:val="28"/>
          <w:szCs w:val="28"/>
        </w:rPr>
        <w:t>组织研究工业和信息化领域数据安全事件拟定级别，对判定为数据安全事件及时报自治区工信厅。</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2.</w:t>
      </w:r>
      <w:r w:rsidRPr="00675A9A">
        <w:rPr>
          <w:rFonts w:asciiTheme="minorEastAsia" w:eastAsiaTheme="minorEastAsia" w:hAnsiTheme="minorEastAsia" w:cs="仿宋_GB2312" w:hint="eastAsia"/>
          <w:sz w:val="28"/>
          <w:szCs w:val="28"/>
        </w:rPr>
        <w:t>组织工业和信息化领域数据安全事件开展原因调查，查明事件性质和责任，总结事故教训，提出整改措施。</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3.</w:t>
      </w:r>
      <w:r w:rsidRPr="00675A9A">
        <w:rPr>
          <w:rFonts w:asciiTheme="minorEastAsia" w:eastAsiaTheme="minorEastAsia" w:hAnsiTheme="minorEastAsia" w:cs="仿宋_GB2312" w:hint="eastAsia"/>
          <w:sz w:val="28"/>
          <w:szCs w:val="28"/>
        </w:rPr>
        <w:t>组织辖区内工业和信息化领域数据安全事件监测预警、通报、应急演练等工作。</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楷体"/>
          <w:b/>
          <w:bCs/>
          <w:sz w:val="28"/>
          <w:szCs w:val="28"/>
        </w:rPr>
      </w:pPr>
      <w:r w:rsidRPr="00675A9A">
        <w:rPr>
          <w:rFonts w:asciiTheme="minorEastAsia" w:eastAsiaTheme="minorEastAsia" w:hAnsiTheme="minorEastAsia" w:cs="仿宋_GB2312" w:hint="eastAsia"/>
          <w:sz w:val="28"/>
          <w:szCs w:val="28"/>
        </w:rPr>
        <w:t>4.</w:t>
      </w:r>
      <w:r w:rsidRPr="00675A9A">
        <w:rPr>
          <w:rFonts w:asciiTheme="minorEastAsia" w:eastAsiaTheme="minorEastAsia" w:hAnsiTheme="minorEastAsia" w:cs="仿宋_GB2312" w:hint="eastAsia"/>
          <w:sz w:val="28"/>
          <w:szCs w:val="28"/>
        </w:rPr>
        <w:t>组织实施本预案，结合实际制定本地区工业和信息化领域数据安全事件应急预案并进行宣贯、培训。</w:t>
      </w:r>
    </w:p>
    <w:p w:rsidR="00224557" w:rsidRPr="00675A9A" w:rsidRDefault="00D81E73" w:rsidP="00675A9A">
      <w:pPr>
        <w:keepNext/>
        <w:numPr>
          <w:ilvl w:val="0"/>
          <w:numId w:val="3"/>
        </w:numPr>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数据处理者职责</w:t>
      </w:r>
      <w:bookmarkEnd w:id="12"/>
      <w:bookmarkEnd w:id="13"/>
      <w:bookmarkEnd w:id="14"/>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工业</w:t>
      </w:r>
      <w:r w:rsidRPr="00675A9A">
        <w:rPr>
          <w:rFonts w:asciiTheme="minorEastAsia" w:eastAsiaTheme="minorEastAsia" w:hAnsiTheme="minorEastAsia" w:cs="仿宋_GB2312" w:hint="eastAsia"/>
          <w:sz w:val="28"/>
          <w:szCs w:val="28"/>
        </w:rPr>
        <w:t>和信息化</w:t>
      </w:r>
      <w:r w:rsidRPr="00675A9A">
        <w:rPr>
          <w:rFonts w:asciiTheme="minorEastAsia" w:eastAsiaTheme="minorEastAsia" w:hAnsiTheme="minorEastAsia" w:cs="仿宋_GB2312" w:hint="eastAsia"/>
          <w:sz w:val="28"/>
          <w:szCs w:val="28"/>
        </w:rPr>
        <w:t>领域数据</w:t>
      </w:r>
      <w:r w:rsidRPr="00675A9A">
        <w:rPr>
          <w:rFonts w:asciiTheme="minorEastAsia" w:eastAsiaTheme="minorEastAsia" w:hAnsiTheme="minorEastAsia" w:cs="仿宋_GB2312" w:hint="eastAsia"/>
          <w:sz w:val="28"/>
          <w:szCs w:val="28"/>
        </w:rPr>
        <w:t>处理者负责本单位数据安全事件预防、监测、应急处置、报告等工作，应当根据应对数据安全事件的需要，制定本单位数据安全事件应急预案。</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（四）应急支撑机构职责</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lastRenderedPageBreak/>
        <w:t>根据需要遴选自治区级与属地两级专业数据安全应急支撑机构，负责开展数据安全事件预防保护、监测预警、应急处置、攻击溯源等工作。</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（五）协同联动</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工信部门按照</w:t>
      </w:r>
      <w:r w:rsidRPr="00675A9A">
        <w:rPr>
          <w:rFonts w:asciiTheme="minorEastAsia" w:eastAsiaTheme="minorEastAsia" w:hAnsiTheme="minorEastAsia" w:cs="仿宋_GB2312" w:hint="eastAsia"/>
          <w:sz w:val="28"/>
          <w:szCs w:val="28"/>
        </w:rPr>
        <w:t>有关法律、行政法规，与有关部门加强协同联动，依法配合有关部门开展数据安全事件应急处置工作。</w:t>
      </w:r>
    </w:p>
    <w:p w:rsidR="00224557" w:rsidRPr="00675A9A" w:rsidRDefault="00D81E73" w:rsidP="00675A9A">
      <w:pPr>
        <w:pStyle w:val="10"/>
        <w:overflowPunct w:val="0"/>
        <w:autoSpaceDE w:val="0"/>
        <w:autoSpaceDN w:val="0"/>
        <w:spacing w:after="0" w:line="480" w:lineRule="auto"/>
        <w:ind w:firstLineChars="200" w:firstLine="560"/>
        <w:textAlignment w:val="baseline"/>
        <w:rPr>
          <w:rFonts w:asciiTheme="minorEastAsia" w:hAnsiTheme="minorEastAsia" w:cs="黑体"/>
          <w:b w:val="0"/>
          <w:bCs/>
          <w:sz w:val="28"/>
          <w:szCs w:val="28"/>
        </w:rPr>
      </w:pPr>
      <w:r w:rsidRPr="00675A9A">
        <w:rPr>
          <w:rFonts w:asciiTheme="minorEastAsia" w:hAnsiTheme="minorEastAsia" w:cs="黑体" w:hint="eastAsia"/>
          <w:b w:val="0"/>
          <w:bCs/>
          <w:sz w:val="28"/>
          <w:szCs w:val="28"/>
        </w:rPr>
        <w:t>三、监测与预警</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（一）预警监测和报告</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自治区工信厅、</w:t>
      </w:r>
      <w:r w:rsidRPr="00675A9A">
        <w:rPr>
          <w:rFonts w:asciiTheme="minorEastAsia" w:eastAsiaTheme="minorEastAsia" w:hAnsiTheme="minorEastAsia" w:cs="仿宋_GB2312" w:hint="eastAsia"/>
          <w:sz w:val="28"/>
          <w:szCs w:val="28"/>
        </w:rPr>
        <w:t>各盟市、旗县（区）工信部门、工业和信息化领域数据处理者、数据安全应急支撑机构应当按照《工业和信息化领域数据安全管理办法（试行）》，工业和信息化领域数据安全风险信息报送与共享等要求，加强数据安全风险监测、</w:t>
      </w:r>
      <w:proofErr w:type="gramStart"/>
      <w:r w:rsidRPr="00675A9A">
        <w:rPr>
          <w:rFonts w:asciiTheme="minorEastAsia" w:eastAsiaTheme="minorEastAsia" w:hAnsiTheme="minorEastAsia" w:cs="仿宋_GB2312" w:hint="eastAsia"/>
          <w:sz w:val="28"/>
          <w:szCs w:val="28"/>
        </w:rPr>
        <w:t>研</w:t>
      </w:r>
      <w:proofErr w:type="gramEnd"/>
      <w:r w:rsidRPr="00675A9A">
        <w:rPr>
          <w:rFonts w:asciiTheme="minorEastAsia" w:eastAsiaTheme="minorEastAsia" w:hAnsiTheme="minorEastAsia" w:cs="仿宋_GB2312" w:hint="eastAsia"/>
          <w:sz w:val="28"/>
          <w:szCs w:val="28"/>
        </w:rPr>
        <w:t>判和上报，分析相关风险发生数据安全事件的可能性及其可能造成的影响。</w:t>
      </w: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w:t>
      </w:r>
      <w:r w:rsidRPr="00675A9A">
        <w:rPr>
          <w:rFonts w:asciiTheme="minorEastAsia" w:eastAsiaTheme="minorEastAsia" w:hAnsiTheme="minorEastAsia" w:cs="仿宋_GB2312" w:hint="eastAsia"/>
          <w:sz w:val="28"/>
          <w:szCs w:val="28"/>
        </w:rPr>
        <w:t>认为</w:t>
      </w:r>
      <w:proofErr w:type="gramEnd"/>
      <w:r w:rsidRPr="00675A9A">
        <w:rPr>
          <w:rFonts w:asciiTheme="minorEastAsia" w:eastAsiaTheme="minorEastAsia" w:hAnsiTheme="minorEastAsia" w:cs="仿宋_GB2312" w:hint="eastAsia"/>
          <w:sz w:val="28"/>
          <w:szCs w:val="28"/>
        </w:rPr>
        <w:t>可能发生重大及以上数据安全事件的，应当立即上报工信</w:t>
      </w:r>
      <w:r w:rsidRPr="00675A9A">
        <w:rPr>
          <w:rFonts w:asciiTheme="minorEastAsia" w:eastAsiaTheme="minorEastAsia" w:hAnsiTheme="minorEastAsia" w:cs="仿宋_GB2312" w:hint="eastAsia"/>
          <w:sz w:val="28"/>
          <w:szCs w:val="28"/>
        </w:rPr>
        <w:t>部</w:t>
      </w:r>
      <w:r w:rsidRPr="00675A9A">
        <w:rPr>
          <w:rFonts w:asciiTheme="minorEastAsia" w:eastAsiaTheme="minorEastAsia" w:hAnsiTheme="minorEastAsia" w:cs="仿宋_GB2312" w:hint="eastAsia"/>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工业和信息化领域数据处理者、数据安全应急支撑机构认为可能发生较大及以上数据安全事件的，由各盟市工信部门负责分析</w:t>
      </w:r>
      <w:proofErr w:type="gramStart"/>
      <w:r w:rsidRPr="00675A9A">
        <w:rPr>
          <w:rFonts w:asciiTheme="minorEastAsia" w:eastAsiaTheme="minorEastAsia" w:hAnsiTheme="minorEastAsia" w:cs="仿宋_GB2312" w:hint="eastAsia"/>
          <w:sz w:val="28"/>
          <w:szCs w:val="28"/>
        </w:rPr>
        <w:t>研判并第</w:t>
      </w:r>
      <w:proofErr w:type="gramEnd"/>
      <w:r w:rsidRPr="00675A9A">
        <w:rPr>
          <w:rFonts w:asciiTheme="minorEastAsia" w:eastAsiaTheme="minorEastAsia" w:hAnsiTheme="minorEastAsia" w:cs="仿宋_GB2312" w:hint="eastAsia"/>
          <w:sz w:val="28"/>
          <w:szCs w:val="28"/>
        </w:rPr>
        <w:t>一时间向</w:t>
      </w: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工信厅报告</w:t>
      </w:r>
      <w:proofErr w:type="gramEnd"/>
      <w:r w:rsidRPr="00675A9A">
        <w:rPr>
          <w:rFonts w:asciiTheme="minorEastAsia" w:eastAsiaTheme="minorEastAsia" w:hAnsiTheme="minorEastAsia" w:cs="仿宋_GB2312" w:hint="eastAsia"/>
          <w:sz w:val="28"/>
          <w:szCs w:val="28"/>
        </w:rPr>
        <w:t>（</w:t>
      </w:r>
      <w:r w:rsidRPr="00675A9A">
        <w:rPr>
          <w:rFonts w:asciiTheme="minorEastAsia" w:eastAsiaTheme="minorEastAsia" w:hAnsiTheme="minorEastAsia" w:cs="仿宋_GB2312" w:hint="eastAsia"/>
          <w:sz w:val="28"/>
          <w:szCs w:val="28"/>
        </w:rPr>
        <w:t>模板见附件</w:t>
      </w:r>
      <w:r w:rsidRPr="00675A9A">
        <w:rPr>
          <w:rFonts w:asciiTheme="minorEastAsia" w:eastAsiaTheme="minorEastAsia" w:hAnsiTheme="minorEastAsia" w:cs="仿宋_GB2312" w:hint="eastAsia"/>
          <w:sz w:val="28"/>
          <w:szCs w:val="28"/>
        </w:rPr>
        <w:t>2</w:t>
      </w:r>
      <w:r w:rsidRPr="00675A9A">
        <w:rPr>
          <w:rFonts w:asciiTheme="minorEastAsia" w:eastAsiaTheme="minorEastAsia" w:hAnsiTheme="minorEastAsia" w:cs="仿宋_GB2312" w:hint="eastAsia"/>
          <w:sz w:val="28"/>
          <w:szCs w:val="28"/>
        </w:rPr>
        <w:t>）。</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（二）预警分级</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依据工信部</w:t>
      </w:r>
      <w:r w:rsidRPr="00675A9A">
        <w:rPr>
          <w:rFonts w:asciiTheme="minorEastAsia" w:eastAsiaTheme="minorEastAsia" w:hAnsiTheme="minorEastAsia" w:cs="仿宋_GB2312" w:hint="eastAsia"/>
          <w:sz w:val="28"/>
          <w:szCs w:val="28"/>
        </w:rPr>
        <w:t>数据安全风险预警机制，根据紧急程度、发展态势、数据规模、关联影响和现实危害等，将数据安全风险预警等级分为四级：由高到低依次用红色、橙色、黄色和蓝色标示，分别对应可能发生特别重大、重大、较大和一般数据安全事件。</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lastRenderedPageBreak/>
        <w:t>自治区</w:t>
      </w:r>
      <w:proofErr w:type="gramStart"/>
      <w:r w:rsidRPr="00675A9A">
        <w:rPr>
          <w:rFonts w:asciiTheme="minorEastAsia" w:eastAsiaTheme="minorEastAsia" w:hAnsiTheme="minorEastAsia" w:cs="仿宋_GB2312" w:hint="eastAsia"/>
          <w:sz w:val="28"/>
          <w:szCs w:val="28"/>
        </w:rPr>
        <w:t>工信厅及时</w:t>
      </w:r>
      <w:proofErr w:type="gramEnd"/>
      <w:r w:rsidRPr="00675A9A">
        <w:rPr>
          <w:rFonts w:asciiTheme="minorEastAsia" w:eastAsiaTheme="minorEastAsia" w:hAnsiTheme="minorEastAsia" w:cs="仿宋_GB2312" w:hint="eastAsia"/>
          <w:sz w:val="28"/>
          <w:szCs w:val="28"/>
        </w:rPr>
        <w:t>汇总分析数据安全风险和预警信息，必要时组织数据安全应急支撑机构、专家组进行会商</w:t>
      </w:r>
      <w:proofErr w:type="gramStart"/>
      <w:r w:rsidRPr="00675A9A">
        <w:rPr>
          <w:rFonts w:asciiTheme="minorEastAsia" w:eastAsiaTheme="minorEastAsia" w:hAnsiTheme="minorEastAsia" w:cs="仿宋_GB2312" w:hint="eastAsia"/>
          <w:sz w:val="28"/>
          <w:szCs w:val="28"/>
        </w:rPr>
        <w:t>研</w:t>
      </w:r>
      <w:proofErr w:type="gramEnd"/>
      <w:r w:rsidRPr="00675A9A">
        <w:rPr>
          <w:rFonts w:asciiTheme="minorEastAsia" w:eastAsiaTheme="minorEastAsia" w:hAnsiTheme="minorEastAsia" w:cs="仿宋_GB2312" w:hint="eastAsia"/>
          <w:sz w:val="28"/>
          <w:szCs w:val="28"/>
        </w:rPr>
        <w:t>判，明确预警等级。</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（三）预警发布</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认为需要发布红色、</w:t>
      </w:r>
      <w:r w:rsidRPr="00675A9A">
        <w:rPr>
          <w:rFonts w:asciiTheme="minorEastAsia" w:eastAsiaTheme="minorEastAsia" w:hAnsiTheme="minorEastAsia" w:cs="仿宋_GB2312" w:hint="eastAsia"/>
          <w:sz w:val="28"/>
          <w:szCs w:val="28"/>
        </w:rPr>
        <w:t>橙色</w:t>
      </w:r>
      <w:r w:rsidRPr="00675A9A">
        <w:rPr>
          <w:rFonts w:asciiTheme="minorEastAsia" w:eastAsiaTheme="minorEastAsia" w:hAnsiTheme="minorEastAsia" w:cs="仿宋_GB2312" w:hint="eastAsia"/>
          <w:sz w:val="28"/>
          <w:szCs w:val="28"/>
        </w:rPr>
        <w:t>预警的，由</w:t>
      </w:r>
      <w:r w:rsidRPr="00675A9A">
        <w:rPr>
          <w:rFonts w:asciiTheme="minorEastAsia" w:eastAsiaTheme="minorEastAsia" w:hAnsiTheme="minorEastAsia" w:cs="仿宋_GB2312" w:hint="eastAsia"/>
          <w:sz w:val="28"/>
          <w:szCs w:val="28"/>
        </w:rPr>
        <w:t>自治区工</w:t>
      </w:r>
      <w:proofErr w:type="gramStart"/>
      <w:r w:rsidRPr="00675A9A">
        <w:rPr>
          <w:rFonts w:asciiTheme="minorEastAsia" w:eastAsiaTheme="minorEastAsia" w:hAnsiTheme="minorEastAsia" w:cs="仿宋_GB2312" w:hint="eastAsia"/>
          <w:sz w:val="28"/>
          <w:szCs w:val="28"/>
        </w:rPr>
        <w:t>信厅</w:t>
      </w:r>
      <w:r w:rsidRPr="00675A9A">
        <w:rPr>
          <w:rFonts w:asciiTheme="minorEastAsia" w:eastAsiaTheme="minorEastAsia" w:hAnsiTheme="minorEastAsia" w:cs="仿宋_GB2312" w:hint="eastAsia"/>
          <w:sz w:val="28"/>
          <w:szCs w:val="28"/>
        </w:rPr>
        <w:t>报</w:t>
      </w:r>
      <w:r w:rsidRPr="00675A9A">
        <w:rPr>
          <w:rFonts w:asciiTheme="minorEastAsia" w:eastAsiaTheme="minorEastAsia" w:hAnsiTheme="minorEastAsia" w:cs="仿宋_GB2312" w:hint="eastAsia"/>
          <w:sz w:val="28"/>
          <w:szCs w:val="28"/>
        </w:rPr>
        <w:t>工</w:t>
      </w:r>
      <w:proofErr w:type="gramEnd"/>
      <w:r w:rsidRPr="00675A9A">
        <w:rPr>
          <w:rFonts w:asciiTheme="minorEastAsia" w:eastAsiaTheme="minorEastAsia" w:hAnsiTheme="minorEastAsia" w:cs="仿宋_GB2312" w:hint="eastAsia"/>
          <w:sz w:val="28"/>
          <w:szCs w:val="28"/>
        </w:rPr>
        <w:t>信部同意后</w:t>
      </w:r>
      <w:r w:rsidRPr="00675A9A">
        <w:rPr>
          <w:rFonts w:asciiTheme="minorEastAsia" w:eastAsiaTheme="minorEastAsia" w:hAnsiTheme="minorEastAsia" w:cs="仿宋_GB2312" w:hint="eastAsia"/>
          <w:sz w:val="28"/>
          <w:szCs w:val="28"/>
        </w:rPr>
        <w:t>统一发布或转发</w:t>
      </w:r>
      <w:r w:rsidRPr="00675A9A">
        <w:rPr>
          <w:rFonts w:asciiTheme="minorEastAsia" w:eastAsiaTheme="minorEastAsia" w:hAnsiTheme="minorEastAsia" w:cs="仿宋_GB2312" w:hint="eastAsia"/>
          <w:sz w:val="28"/>
          <w:szCs w:val="28"/>
        </w:rPr>
        <w:t>工信部</w:t>
      </w:r>
      <w:r w:rsidRPr="00675A9A">
        <w:rPr>
          <w:rFonts w:asciiTheme="minorEastAsia" w:eastAsiaTheme="minorEastAsia" w:hAnsiTheme="minorEastAsia" w:cs="仿宋_GB2312" w:hint="eastAsia"/>
          <w:sz w:val="28"/>
          <w:szCs w:val="28"/>
        </w:rPr>
        <w:t>发布的红色、</w:t>
      </w:r>
      <w:r w:rsidRPr="00675A9A">
        <w:rPr>
          <w:rFonts w:asciiTheme="minorEastAsia" w:eastAsiaTheme="minorEastAsia" w:hAnsiTheme="minorEastAsia" w:cs="仿宋_GB2312" w:hint="eastAsia"/>
          <w:sz w:val="28"/>
          <w:szCs w:val="28"/>
        </w:rPr>
        <w:t>橙色</w:t>
      </w:r>
      <w:r w:rsidRPr="00675A9A">
        <w:rPr>
          <w:rFonts w:asciiTheme="minorEastAsia" w:eastAsiaTheme="minorEastAsia" w:hAnsiTheme="minorEastAsia" w:cs="仿宋_GB2312" w:hint="eastAsia"/>
          <w:sz w:val="28"/>
          <w:szCs w:val="28"/>
        </w:rPr>
        <w:t>预警。认为需要发布黄色和蓝色预警的，由</w:t>
      </w: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w:t>
      </w:r>
      <w:r w:rsidRPr="00675A9A">
        <w:rPr>
          <w:rFonts w:asciiTheme="minorEastAsia" w:eastAsiaTheme="minorEastAsia" w:hAnsiTheme="minorEastAsia" w:cs="仿宋_GB2312" w:hint="eastAsia"/>
          <w:sz w:val="28"/>
          <w:szCs w:val="28"/>
        </w:rPr>
        <w:t>在</w:t>
      </w:r>
      <w:proofErr w:type="gramEnd"/>
      <w:r w:rsidRPr="00675A9A">
        <w:rPr>
          <w:rFonts w:asciiTheme="minorEastAsia" w:eastAsiaTheme="minorEastAsia" w:hAnsiTheme="minorEastAsia" w:cs="仿宋_GB2312" w:hint="eastAsia"/>
          <w:sz w:val="28"/>
          <w:szCs w:val="28"/>
        </w:rPr>
        <w:t>本地区本领域内发布。</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预警信息包括预警等级、起始时间、可能影响的范围和造成的危害、警示事项、应采取的防范措施、处置时限要求、发布范围和发布机关等。</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（四）预警响应</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发布黄色和蓝色预警后，</w:t>
      </w: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w:t>
      </w:r>
      <w:r w:rsidRPr="00675A9A">
        <w:rPr>
          <w:rFonts w:asciiTheme="minorEastAsia" w:eastAsiaTheme="minorEastAsia" w:hAnsiTheme="minorEastAsia" w:cs="仿宋_GB2312" w:hint="eastAsia"/>
          <w:sz w:val="28"/>
          <w:szCs w:val="28"/>
        </w:rPr>
        <w:t>针对</w:t>
      </w:r>
      <w:proofErr w:type="gramEnd"/>
      <w:r w:rsidRPr="00675A9A">
        <w:rPr>
          <w:rFonts w:asciiTheme="minorEastAsia" w:eastAsiaTheme="minorEastAsia" w:hAnsiTheme="minorEastAsia" w:cs="仿宋_GB2312" w:hint="eastAsia"/>
          <w:sz w:val="28"/>
          <w:szCs w:val="28"/>
        </w:rPr>
        <w:t>即将发生的数据安全事件特点和可能造</w:t>
      </w:r>
      <w:r w:rsidRPr="00675A9A">
        <w:rPr>
          <w:rFonts w:asciiTheme="minorEastAsia" w:eastAsiaTheme="minorEastAsia" w:hAnsiTheme="minorEastAsia" w:cs="仿宋_GB2312" w:hint="eastAsia"/>
          <w:sz w:val="28"/>
          <w:szCs w:val="28"/>
        </w:rPr>
        <w:t>成的危害，采取下列措施：</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1.</w:t>
      </w:r>
      <w:r w:rsidRPr="00675A9A">
        <w:rPr>
          <w:rFonts w:asciiTheme="minorEastAsia" w:eastAsiaTheme="minorEastAsia" w:hAnsiTheme="minorEastAsia" w:cs="仿宋_GB2312" w:hint="eastAsia"/>
          <w:sz w:val="28"/>
          <w:szCs w:val="28"/>
        </w:rPr>
        <w:t>涉及预警信息的数据处理者及时收集、报告有关信息，加强数据安全风险监测。</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2.</w:t>
      </w:r>
      <w:r w:rsidRPr="00675A9A">
        <w:rPr>
          <w:rFonts w:asciiTheme="minorEastAsia" w:eastAsiaTheme="minorEastAsia" w:hAnsiTheme="minorEastAsia" w:cs="仿宋_GB2312" w:hint="eastAsia"/>
          <w:sz w:val="28"/>
          <w:szCs w:val="28"/>
        </w:rPr>
        <w:t>组织数据安全应急支撑机构加强预警信息分析评估与事态跟踪，密切关注事态发展，提出下步工作措施。</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3.</w:t>
      </w:r>
      <w:r w:rsidRPr="00675A9A">
        <w:rPr>
          <w:rFonts w:asciiTheme="minorEastAsia" w:eastAsiaTheme="minorEastAsia" w:hAnsiTheme="minorEastAsia" w:cs="仿宋_GB2312" w:hint="eastAsia"/>
          <w:sz w:val="28"/>
          <w:szCs w:val="28"/>
        </w:rPr>
        <w:t>组织专家组加强风险</w:t>
      </w:r>
      <w:proofErr w:type="gramStart"/>
      <w:r w:rsidRPr="00675A9A">
        <w:rPr>
          <w:rFonts w:asciiTheme="minorEastAsia" w:eastAsiaTheme="minorEastAsia" w:hAnsiTheme="minorEastAsia" w:cs="仿宋_GB2312" w:hint="eastAsia"/>
          <w:sz w:val="28"/>
          <w:szCs w:val="28"/>
        </w:rPr>
        <w:t>研</w:t>
      </w:r>
      <w:proofErr w:type="gramEnd"/>
      <w:r w:rsidRPr="00675A9A">
        <w:rPr>
          <w:rFonts w:asciiTheme="minorEastAsia" w:eastAsiaTheme="minorEastAsia" w:hAnsiTheme="minorEastAsia" w:cs="仿宋_GB2312" w:hint="eastAsia"/>
          <w:sz w:val="28"/>
          <w:szCs w:val="28"/>
        </w:rPr>
        <w:t>判及原因分析，提出应急处置方法和整改措施建议。</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发布红色和橙色预警后，</w:t>
      </w: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w:t>
      </w:r>
      <w:r w:rsidRPr="00675A9A">
        <w:rPr>
          <w:rFonts w:asciiTheme="minorEastAsia" w:eastAsiaTheme="minorEastAsia" w:hAnsiTheme="minorEastAsia" w:cs="仿宋_GB2312" w:hint="eastAsia"/>
          <w:sz w:val="28"/>
          <w:szCs w:val="28"/>
        </w:rPr>
        <w:t>除</w:t>
      </w:r>
      <w:proofErr w:type="gramEnd"/>
      <w:r w:rsidRPr="00675A9A">
        <w:rPr>
          <w:rFonts w:asciiTheme="minorEastAsia" w:eastAsiaTheme="minorEastAsia" w:hAnsiTheme="minorEastAsia" w:cs="仿宋_GB2312" w:hint="eastAsia"/>
          <w:sz w:val="28"/>
          <w:szCs w:val="28"/>
        </w:rPr>
        <w:t>采取黄色和蓝色预警响应措施外，还应当对即将发生的数据安全事件特点和可能造成的危害，采取下列措施：</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1.</w:t>
      </w:r>
      <w:r w:rsidRPr="00675A9A">
        <w:rPr>
          <w:rFonts w:asciiTheme="minorEastAsia" w:eastAsiaTheme="minorEastAsia" w:hAnsiTheme="minorEastAsia" w:cs="仿宋_GB2312" w:hint="eastAsia"/>
          <w:sz w:val="28"/>
          <w:szCs w:val="28"/>
        </w:rPr>
        <w:t>各级工信部门、涉及预警信息的数据处理者等相关单位实行</w:t>
      </w:r>
      <w:r w:rsidRPr="00675A9A">
        <w:rPr>
          <w:rFonts w:asciiTheme="minorEastAsia" w:eastAsiaTheme="minorEastAsia" w:hAnsiTheme="minorEastAsia" w:cs="仿宋_GB2312" w:hint="eastAsia"/>
          <w:sz w:val="28"/>
          <w:szCs w:val="28"/>
        </w:rPr>
        <w:t>24</w:t>
      </w:r>
      <w:r w:rsidRPr="00675A9A">
        <w:rPr>
          <w:rFonts w:asciiTheme="minorEastAsia" w:eastAsiaTheme="minorEastAsia" w:hAnsiTheme="minorEastAsia" w:cs="仿宋_GB2312" w:hint="eastAsia"/>
          <w:sz w:val="28"/>
          <w:szCs w:val="28"/>
        </w:rPr>
        <w:t>小时</w:t>
      </w:r>
      <w:r w:rsidRPr="00675A9A">
        <w:rPr>
          <w:rFonts w:asciiTheme="minorEastAsia" w:eastAsiaTheme="minorEastAsia" w:hAnsiTheme="minorEastAsia" w:cs="仿宋_GB2312" w:hint="eastAsia"/>
          <w:sz w:val="28"/>
          <w:szCs w:val="28"/>
        </w:rPr>
        <w:lastRenderedPageBreak/>
        <w:t>值班，相关人员保持通信联络畅通。</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2.</w:t>
      </w:r>
      <w:r w:rsidRPr="00675A9A">
        <w:rPr>
          <w:rFonts w:asciiTheme="minorEastAsia" w:eastAsiaTheme="minorEastAsia" w:hAnsiTheme="minorEastAsia" w:cs="仿宋_GB2312" w:hint="eastAsia"/>
          <w:sz w:val="28"/>
          <w:szCs w:val="28"/>
        </w:rPr>
        <w:t>组织研究制定防范措施和应急工作方案，组织专家会商</w:t>
      </w:r>
      <w:proofErr w:type="gramStart"/>
      <w:r w:rsidRPr="00675A9A">
        <w:rPr>
          <w:rFonts w:asciiTheme="minorEastAsia" w:eastAsiaTheme="minorEastAsia" w:hAnsiTheme="minorEastAsia" w:cs="仿宋_GB2312" w:hint="eastAsia"/>
          <w:sz w:val="28"/>
          <w:szCs w:val="28"/>
        </w:rPr>
        <w:t>研</w:t>
      </w:r>
      <w:proofErr w:type="gramEnd"/>
      <w:r w:rsidRPr="00675A9A">
        <w:rPr>
          <w:rFonts w:asciiTheme="minorEastAsia" w:eastAsiaTheme="minorEastAsia" w:hAnsiTheme="minorEastAsia" w:cs="仿宋_GB2312" w:hint="eastAsia"/>
          <w:sz w:val="28"/>
          <w:szCs w:val="28"/>
        </w:rPr>
        <w:t>提意见，协调各方资源，做好各项准备工作。</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3.</w:t>
      </w:r>
      <w:r w:rsidRPr="00675A9A">
        <w:rPr>
          <w:rFonts w:asciiTheme="minorEastAsia" w:eastAsiaTheme="minorEastAsia" w:hAnsiTheme="minorEastAsia" w:cs="仿宋_GB2312" w:hint="eastAsia"/>
          <w:sz w:val="28"/>
          <w:szCs w:val="28"/>
        </w:rPr>
        <w:t>相关数据安全应急支撑机构进入待命状态，针对预警信息研究制定应对方案，检查应急设备、软件工具等使用情况，确保处于良好状态。</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（五）预警调整和解除</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w:t>
      </w:r>
      <w:r w:rsidRPr="00675A9A">
        <w:rPr>
          <w:rFonts w:asciiTheme="minorEastAsia" w:eastAsiaTheme="minorEastAsia" w:hAnsiTheme="minorEastAsia" w:cs="仿宋_GB2312" w:hint="eastAsia"/>
          <w:sz w:val="28"/>
          <w:szCs w:val="28"/>
        </w:rPr>
        <w:t>发布</w:t>
      </w:r>
      <w:proofErr w:type="gramEnd"/>
      <w:r w:rsidRPr="00675A9A">
        <w:rPr>
          <w:rFonts w:asciiTheme="minorEastAsia" w:eastAsiaTheme="minorEastAsia" w:hAnsiTheme="minorEastAsia" w:cs="仿宋_GB2312" w:hint="eastAsia"/>
          <w:sz w:val="28"/>
          <w:szCs w:val="28"/>
        </w:rPr>
        <w:t>预警后，根据事态发展，适时调整预警级别并按照权限重新发布。经</w:t>
      </w:r>
      <w:proofErr w:type="gramStart"/>
      <w:r w:rsidRPr="00675A9A">
        <w:rPr>
          <w:rFonts w:asciiTheme="minorEastAsia" w:eastAsiaTheme="minorEastAsia" w:hAnsiTheme="minorEastAsia" w:cs="仿宋_GB2312" w:hint="eastAsia"/>
          <w:sz w:val="28"/>
          <w:szCs w:val="28"/>
        </w:rPr>
        <w:t>研</w:t>
      </w:r>
      <w:proofErr w:type="gramEnd"/>
      <w:r w:rsidRPr="00675A9A">
        <w:rPr>
          <w:rFonts w:asciiTheme="minorEastAsia" w:eastAsiaTheme="minorEastAsia" w:hAnsiTheme="minorEastAsia" w:cs="仿宋_GB2312" w:hint="eastAsia"/>
          <w:sz w:val="28"/>
          <w:szCs w:val="28"/>
        </w:rPr>
        <w:t>判不可能发生事件或风险已经解除的，及时宣布解除预警，并解除已经采取的有关预警响应措施。</w:t>
      </w:r>
    </w:p>
    <w:p w:rsidR="00224557" w:rsidRPr="00675A9A" w:rsidRDefault="00D81E73" w:rsidP="00675A9A">
      <w:pPr>
        <w:pStyle w:val="10"/>
        <w:overflowPunct w:val="0"/>
        <w:autoSpaceDE w:val="0"/>
        <w:autoSpaceDN w:val="0"/>
        <w:spacing w:after="0" w:line="480" w:lineRule="auto"/>
        <w:ind w:firstLineChars="200" w:firstLine="560"/>
        <w:textAlignment w:val="baseline"/>
        <w:rPr>
          <w:rFonts w:asciiTheme="minorEastAsia" w:hAnsiTheme="minorEastAsia" w:cs="黑体"/>
          <w:b w:val="0"/>
          <w:bCs/>
          <w:sz w:val="28"/>
          <w:szCs w:val="28"/>
        </w:rPr>
      </w:pPr>
      <w:r w:rsidRPr="00675A9A">
        <w:rPr>
          <w:rFonts w:asciiTheme="minorEastAsia" w:hAnsiTheme="minorEastAsia" w:cs="黑体" w:hint="eastAsia"/>
          <w:b w:val="0"/>
          <w:bCs/>
          <w:sz w:val="28"/>
          <w:szCs w:val="28"/>
        </w:rPr>
        <w:t>四、事件响应</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（一）响应分级</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数据安全事件应急响应分为四级：</w:t>
      </w:r>
      <w:r w:rsidRPr="00675A9A">
        <w:rPr>
          <w:rFonts w:asciiTheme="minorEastAsia" w:eastAsiaTheme="minorEastAsia" w:hAnsiTheme="minorEastAsia" w:cs="仿宋_GB2312" w:hint="eastAsia"/>
          <w:sz w:val="28"/>
          <w:szCs w:val="28"/>
        </w:rPr>
        <w:t>I</w:t>
      </w:r>
      <w:r w:rsidRPr="00675A9A">
        <w:rPr>
          <w:rFonts w:asciiTheme="minorEastAsia" w:eastAsiaTheme="minorEastAsia" w:hAnsiTheme="minorEastAsia" w:cs="仿宋_GB2312" w:hint="eastAsia"/>
          <w:sz w:val="28"/>
          <w:szCs w:val="28"/>
        </w:rPr>
        <w:t>级、Ⅱ级、Ⅲ级、Ⅳ级，分别对应发生特别重</w:t>
      </w:r>
      <w:r w:rsidRPr="00675A9A">
        <w:rPr>
          <w:rFonts w:asciiTheme="minorEastAsia" w:eastAsiaTheme="minorEastAsia" w:hAnsiTheme="minorEastAsia" w:cs="仿宋_GB2312" w:hint="eastAsia"/>
          <w:sz w:val="28"/>
          <w:szCs w:val="28"/>
        </w:rPr>
        <w:t>大、重大、较大、一般数据安全事件的应急响应。</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（二）事件监测和报告</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工业和信息化领域数据处理者一旦</w:t>
      </w:r>
      <w:r w:rsidRPr="00675A9A">
        <w:rPr>
          <w:rFonts w:asciiTheme="minorEastAsia" w:eastAsiaTheme="minorEastAsia" w:hAnsiTheme="minorEastAsia" w:cs="仿宋_GB2312" w:hint="eastAsia"/>
          <w:sz w:val="28"/>
          <w:szCs w:val="28"/>
        </w:rPr>
        <w:t>发现</w:t>
      </w:r>
      <w:r w:rsidRPr="00675A9A">
        <w:rPr>
          <w:rFonts w:asciiTheme="minorEastAsia" w:eastAsiaTheme="minorEastAsia" w:hAnsiTheme="minorEastAsia" w:cs="仿宋_GB2312" w:hint="eastAsia"/>
          <w:sz w:val="28"/>
          <w:szCs w:val="28"/>
        </w:rPr>
        <w:t>数据安全事件，应当立即</w:t>
      </w:r>
      <w:r w:rsidRPr="00675A9A">
        <w:rPr>
          <w:rFonts w:asciiTheme="minorEastAsia" w:eastAsiaTheme="minorEastAsia" w:hAnsiTheme="minorEastAsia" w:cs="仿宋_GB2312" w:hint="eastAsia"/>
          <w:sz w:val="28"/>
          <w:szCs w:val="28"/>
        </w:rPr>
        <w:t>先行判断，对自判为较大及以上事件的，应当</w:t>
      </w:r>
      <w:r w:rsidRPr="00675A9A">
        <w:rPr>
          <w:rFonts w:asciiTheme="minorEastAsia" w:eastAsiaTheme="minorEastAsia" w:hAnsiTheme="minorEastAsia" w:cs="仿宋_GB2312" w:hint="eastAsia"/>
          <w:sz w:val="28"/>
          <w:szCs w:val="28"/>
        </w:rPr>
        <w:t>向</w:t>
      </w:r>
      <w:proofErr w:type="gramStart"/>
      <w:r w:rsidRPr="00675A9A">
        <w:rPr>
          <w:rFonts w:asciiTheme="minorEastAsia" w:eastAsiaTheme="minorEastAsia" w:hAnsiTheme="minorEastAsia" w:cs="仿宋_GB2312" w:hint="eastAsia"/>
          <w:sz w:val="28"/>
          <w:szCs w:val="28"/>
        </w:rPr>
        <w:t>属地工</w:t>
      </w:r>
      <w:proofErr w:type="gramEnd"/>
      <w:r w:rsidRPr="00675A9A">
        <w:rPr>
          <w:rFonts w:asciiTheme="minorEastAsia" w:eastAsiaTheme="minorEastAsia" w:hAnsiTheme="minorEastAsia" w:cs="仿宋_GB2312" w:hint="eastAsia"/>
          <w:sz w:val="28"/>
          <w:szCs w:val="28"/>
        </w:rPr>
        <w:t>信</w:t>
      </w:r>
      <w:r w:rsidRPr="00675A9A">
        <w:rPr>
          <w:rFonts w:asciiTheme="minorEastAsia" w:eastAsiaTheme="minorEastAsia" w:hAnsiTheme="minorEastAsia" w:cs="仿宋_GB2312" w:hint="eastAsia"/>
          <w:sz w:val="28"/>
          <w:szCs w:val="28"/>
        </w:rPr>
        <w:t>部门报告，不得迟报、谎报、瞒报、漏报。</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数据安全应急支撑机构应当通过多种途径监测、收集数据安全事件信息，及时向</w:t>
      </w:r>
      <w:proofErr w:type="gramStart"/>
      <w:r w:rsidRPr="00675A9A">
        <w:rPr>
          <w:rFonts w:asciiTheme="minorEastAsia" w:eastAsiaTheme="minorEastAsia" w:hAnsiTheme="minorEastAsia" w:cs="仿宋_GB2312" w:hint="eastAsia"/>
          <w:sz w:val="28"/>
          <w:szCs w:val="28"/>
        </w:rPr>
        <w:t>属地工</w:t>
      </w:r>
      <w:proofErr w:type="gramEnd"/>
      <w:r w:rsidRPr="00675A9A">
        <w:rPr>
          <w:rFonts w:asciiTheme="minorEastAsia" w:eastAsiaTheme="minorEastAsia" w:hAnsiTheme="minorEastAsia" w:cs="仿宋_GB2312" w:hint="eastAsia"/>
          <w:sz w:val="28"/>
          <w:szCs w:val="28"/>
        </w:rPr>
        <w:t>信</w:t>
      </w:r>
      <w:r w:rsidRPr="00675A9A">
        <w:rPr>
          <w:rFonts w:asciiTheme="minorEastAsia" w:eastAsiaTheme="minorEastAsia" w:hAnsiTheme="minorEastAsia" w:cs="仿宋_GB2312" w:hint="eastAsia"/>
          <w:sz w:val="28"/>
          <w:szCs w:val="28"/>
        </w:rPr>
        <w:t>部门报告。</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盟市</w:t>
      </w:r>
      <w:r w:rsidRPr="00675A9A">
        <w:rPr>
          <w:rFonts w:asciiTheme="minorEastAsia" w:eastAsiaTheme="minorEastAsia" w:hAnsiTheme="minorEastAsia" w:cs="仿宋_GB2312" w:hint="eastAsia"/>
          <w:sz w:val="28"/>
          <w:szCs w:val="28"/>
        </w:rPr>
        <w:t>工信部门初步</w:t>
      </w:r>
      <w:proofErr w:type="gramStart"/>
      <w:r w:rsidRPr="00675A9A">
        <w:rPr>
          <w:rFonts w:asciiTheme="minorEastAsia" w:eastAsiaTheme="minorEastAsia" w:hAnsiTheme="minorEastAsia" w:cs="仿宋_GB2312" w:hint="eastAsia"/>
          <w:sz w:val="28"/>
          <w:szCs w:val="28"/>
        </w:rPr>
        <w:t>研</w:t>
      </w:r>
      <w:proofErr w:type="gramEnd"/>
      <w:r w:rsidRPr="00675A9A">
        <w:rPr>
          <w:rFonts w:asciiTheme="minorEastAsia" w:eastAsiaTheme="minorEastAsia" w:hAnsiTheme="minorEastAsia" w:cs="仿宋_GB2312" w:hint="eastAsia"/>
          <w:sz w:val="28"/>
          <w:szCs w:val="28"/>
        </w:rPr>
        <w:t>判为</w:t>
      </w:r>
      <w:r w:rsidRPr="00675A9A">
        <w:rPr>
          <w:rFonts w:asciiTheme="minorEastAsia" w:eastAsiaTheme="minorEastAsia" w:hAnsiTheme="minorEastAsia" w:cs="仿宋_GB2312" w:hint="eastAsia"/>
          <w:sz w:val="28"/>
          <w:szCs w:val="28"/>
        </w:rPr>
        <w:t>较大及以上</w:t>
      </w:r>
      <w:r w:rsidRPr="00675A9A">
        <w:rPr>
          <w:rFonts w:asciiTheme="minorEastAsia" w:eastAsiaTheme="minorEastAsia" w:hAnsiTheme="minorEastAsia" w:cs="仿宋_GB2312" w:hint="eastAsia"/>
          <w:sz w:val="28"/>
          <w:szCs w:val="28"/>
        </w:rPr>
        <w:t>数据安全事件的，要在</w:t>
      </w:r>
      <w:r w:rsidRPr="00675A9A">
        <w:rPr>
          <w:rFonts w:asciiTheme="minorEastAsia" w:eastAsiaTheme="minorEastAsia" w:hAnsiTheme="minorEastAsia" w:cs="仿宋_GB2312" w:hint="eastAsia"/>
          <w:sz w:val="28"/>
          <w:szCs w:val="28"/>
        </w:rPr>
        <w:t>发现事件后</w:t>
      </w:r>
      <w:r w:rsidRPr="00675A9A">
        <w:rPr>
          <w:rFonts w:asciiTheme="minorEastAsia" w:eastAsiaTheme="minorEastAsia" w:hAnsiTheme="minorEastAsia" w:cs="仿宋_GB2312" w:hint="eastAsia"/>
          <w:sz w:val="28"/>
          <w:szCs w:val="28"/>
        </w:rPr>
        <w:t>5</w:t>
      </w:r>
      <w:r w:rsidRPr="00675A9A">
        <w:rPr>
          <w:rFonts w:asciiTheme="minorEastAsia" w:eastAsiaTheme="minorEastAsia" w:hAnsiTheme="minorEastAsia" w:cs="仿宋_GB2312" w:hint="eastAsia"/>
          <w:sz w:val="28"/>
          <w:szCs w:val="28"/>
        </w:rPr>
        <w:t>分钟内电话、</w:t>
      </w:r>
      <w:r w:rsidRPr="00675A9A">
        <w:rPr>
          <w:rFonts w:asciiTheme="minorEastAsia" w:eastAsiaTheme="minorEastAsia" w:hAnsiTheme="minorEastAsia" w:cs="仿宋_GB2312" w:hint="eastAsia"/>
          <w:sz w:val="28"/>
          <w:szCs w:val="28"/>
        </w:rPr>
        <w:t>20</w:t>
      </w:r>
      <w:r w:rsidRPr="00675A9A">
        <w:rPr>
          <w:rFonts w:asciiTheme="minorEastAsia" w:eastAsiaTheme="minorEastAsia" w:hAnsiTheme="minorEastAsia" w:cs="仿宋_GB2312" w:hint="eastAsia"/>
          <w:sz w:val="28"/>
          <w:szCs w:val="28"/>
        </w:rPr>
        <w:t>分钟内书面向</w:t>
      </w: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工信厅报告</w:t>
      </w:r>
      <w:proofErr w:type="gramEnd"/>
      <w:r w:rsidRPr="00675A9A">
        <w:rPr>
          <w:rFonts w:asciiTheme="minorEastAsia" w:eastAsiaTheme="minorEastAsia" w:hAnsiTheme="minorEastAsia" w:cs="仿宋_GB2312" w:hint="eastAsia"/>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lastRenderedPageBreak/>
        <w:t>自治区</w:t>
      </w:r>
      <w:r w:rsidRPr="00675A9A">
        <w:rPr>
          <w:rFonts w:asciiTheme="minorEastAsia" w:eastAsiaTheme="minorEastAsia" w:hAnsiTheme="minorEastAsia" w:cs="仿宋_GB2312" w:hint="eastAsia"/>
          <w:sz w:val="28"/>
          <w:szCs w:val="28"/>
        </w:rPr>
        <w:t>工</w:t>
      </w:r>
      <w:proofErr w:type="gramStart"/>
      <w:r w:rsidRPr="00675A9A">
        <w:rPr>
          <w:rFonts w:asciiTheme="minorEastAsia" w:eastAsiaTheme="minorEastAsia" w:hAnsiTheme="minorEastAsia" w:cs="仿宋_GB2312" w:hint="eastAsia"/>
          <w:sz w:val="28"/>
          <w:szCs w:val="28"/>
        </w:rPr>
        <w:t>信厅初步研</w:t>
      </w:r>
      <w:proofErr w:type="gramEnd"/>
      <w:r w:rsidRPr="00675A9A">
        <w:rPr>
          <w:rFonts w:asciiTheme="minorEastAsia" w:eastAsiaTheme="minorEastAsia" w:hAnsiTheme="minorEastAsia" w:cs="仿宋_GB2312" w:hint="eastAsia"/>
          <w:sz w:val="28"/>
          <w:szCs w:val="28"/>
        </w:rPr>
        <w:t>判为特别重大、重大数据安全事件的，要在</w:t>
      </w:r>
      <w:r w:rsidRPr="00675A9A">
        <w:rPr>
          <w:rFonts w:asciiTheme="minorEastAsia" w:eastAsiaTheme="minorEastAsia" w:hAnsiTheme="minorEastAsia" w:cs="仿宋_GB2312" w:hint="eastAsia"/>
          <w:sz w:val="28"/>
          <w:szCs w:val="28"/>
        </w:rPr>
        <w:t>发现事件后</w:t>
      </w:r>
      <w:r w:rsidRPr="00675A9A">
        <w:rPr>
          <w:rFonts w:asciiTheme="minorEastAsia" w:eastAsiaTheme="minorEastAsia" w:hAnsiTheme="minorEastAsia" w:cs="仿宋_GB2312" w:hint="eastAsia"/>
          <w:sz w:val="28"/>
          <w:szCs w:val="28"/>
        </w:rPr>
        <w:t>10</w:t>
      </w:r>
      <w:r w:rsidRPr="00675A9A">
        <w:rPr>
          <w:rFonts w:asciiTheme="minorEastAsia" w:eastAsiaTheme="minorEastAsia" w:hAnsiTheme="minorEastAsia" w:cs="仿宋_GB2312" w:hint="eastAsia"/>
          <w:sz w:val="28"/>
          <w:szCs w:val="28"/>
        </w:rPr>
        <w:t>分钟内电话、</w:t>
      </w:r>
      <w:r w:rsidRPr="00675A9A">
        <w:rPr>
          <w:rFonts w:asciiTheme="minorEastAsia" w:eastAsiaTheme="minorEastAsia" w:hAnsiTheme="minorEastAsia" w:cs="仿宋_GB2312" w:hint="eastAsia"/>
          <w:sz w:val="28"/>
          <w:szCs w:val="28"/>
        </w:rPr>
        <w:t>30</w:t>
      </w:r>
      <w:r w:rsidRPr="00675A9A">
        <w:rPr>
          <w:rFonts w:asciiTheme="minorEastAsia" w:eastAsiaTheme="minorEastAsia" w:hAnsiTheme="minorEastAsia" w:cs="仿宋_GB2312" w:hint="eastAsia"/>
          <w:sz w:val="28"/>
          <w:szCs w:val="28"/>
        </w:rPr>
        <w:t>分钟内书面</w:t>
      </w:r>
      <w:r w:rsidRPr="00675A9A">
        <w:rPr>
          <w:rFonts w:asciiTheme="minorEastAsia" w:eastAsiaTheme="minorEastAsia" w:hAnsiTheme="minorEastAsia" w:cs="仿宋_GB2312" w:hint="eastAsia"/>
          <w:sz w:val="28"/>
          <w:szCs w:val="28"/>
        </w:rPr>
        <w:t>向</w:t>
      </w:r>
      <w:r w:rsidRPr="00675A9A">
        <w:rPr>
          <w:rFonts w:asciiTheme="minorEastAsia" w:eastAsiaTheme="minorEastAsia" w:hAnsiTheme="minorEastAsia" w:cs="仿宋_GB2312" w:hint="eastAsia"/>
          <w:sz w:val="28"/>
          <w:szCs w:val="28"/>
        </w:rPr>
        <w:t>工信部</w:t>
      </w:r>
      <w:r w:rsidRPr="00675A9A">
        <w:rPr>
          <w:rFonts w:asciiTheme="minorEastAsia" w:eastAsiaTheme="minorEastAsia" w:hAnsiTheme="minorEastAsia" w:cs="仿宋_GB2312" w:hint="eastAsia"/>
          <w:sz w:val="28"/>
          <w:szCs w:val="28"/>
        </w:rPr>
        <w:t>报告。</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报告事件</w:t>
      </w:r>
      <w:proofErr w:type="gramStart"/>
      <w:r w:rsidRPr="00675A9A">
        <w:rPr>
          <w:rFonts w:asciiTheme="minorEastAsia" w:eastAsiaTheme="minorEastAsia" w:hAnsiTheme="minorEastAsia" w:cs="仿宋_GB2312" w:hint="eastAsia"/>
          <w:sz w:val="28"/>
          <w:szCs w:val="28"/>
        </w:rPr>
        <w:t>研判信息</w:t>
      </w:r>
      <w:proofErr w:type="gramEnd"/>
      <w:r w:rsidRPr="00675A9A">
        <w:rPr>
          <w:rFonts w:asciiTheme="minorEastAsia" w:eastAsiaTheme="minorEastAsia" w:hAnsiTheme="minorEastAsia" w:cs="仿宋_GB2312" w:hint="eastAsia"/>
          <w:sz w:val="28"/>
          <w:szCs w:val="28"/>
        </w:rPr>
        <w:t>时，应当说明事件发生时间、初步判定的影响范围和危害、已采取的应急处置措施和有关建议。</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（三）先行处置</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数据安全事件发生后，工业和信息化领域数据处理者应当立即启动本单位应急预案，组织本单位应急队伍和工作人员采取应急处置措施，开展数据恢复或追溯</w:t>
      </w:r>
      <w:r w:rsidRPr="00675A9A">
        <w:rPr>
          <w:rFonts w:asciiTheme="minorEastAsia" w:eastAsiaTheme="minorEastAsia" w:hAnsiTheme="minorEastAsia" w:cs="仿宋_GB2312" w:hint="eastAsia"/>
          <w:sz w:val="28"/>
          <w:szCs w:val="28"/>
        </w:rPr>
        <w:t>工作</w:t>
      </w:r>
      <w:r w:rsidRPr="00675A9A">
        <w:rPr>
          <w:rFonts w:asciiTheme="minorEastAsia" w:eastAsiaTheme="minorEastAsia" w:hAnsiTheme="minorEastAsia" w:cs="仿宋_GB2312" w:hint="eastAsia"/>
          <w:sz w:val="28"/>
          <w:szCs w:val="28"/>
        </w:rPr>
        <w:t>，尽可能减少对用户和社会的影响，同时注意保存相关痕迹和证据。</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（四）应急响应</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各级工信部门视</w:t>
      </w:r>
      <w:r w:rsidRPr="00675A9A">
        <w:rPr>
          <w:rFonts w:asciiTheme="minorEastAsia" w:eastAsiaTheme="minorEastAsia" w:hAnsiTheme="minorEastAsia" w:cs="仿宋_GB2312" w:hint="eastAsia"/>
          <w:sz w:val="28"/>
          <w:szCs w:val="28"/>
        </w:rPr>
        <w:t>情况</w:t>
      </w:r>
      <w:r w:rsidRPr="00675A9A">
        <w:rPr>
          <w:rFonts w:asciiTheme="minorEastAsia" w:eastAsiaTheme="minorEastAsia" w:hAnsiTheme="minorEastAsia" w:cs="仿宋_GB2312" w:hint="eastAsia"/>
          <w:sz w:val="28"/>
          <w:szCs w:val="28"/>
        </w:rPr>
        <w:t>组织数据安全应急支撑机构、专家等进行</w:t>
      </w:r>
      <w:proofErr w:type="gramStart"/>
      <w:r w:rsidRPr="00675A9A">
        <w:rPr>
          <w:rFonts w:asciiTheme="minorEastAsia" w:eastAsiaTheme="minorEastAsia" w:hAnsiTheme="minorEastAsia" w:cs="仿宋_GB2312" w:hint="eastAsia"/>
          <w:sz w:val="28"/>
          <w:szCs w:val="28"/>
        </w:rPr>
        <w:t>研</w:t>
      </w:r>
      <w:proofErr w:type="gramEnd"/>
      <w:r w:rsidRPr="00675A9A">
        <w:rPr>
          <w:rFonts w:asciiTheme="minorEastAsia" w:eastAsiaTheme="minorEastAsia" w:hAnsiTheme="minorEastAsia" w:cs="仿宋_GB2312" w:hint="eastAsia"/>
          <w:sz w:val="28"/>
          <w:szCs w:val="28"/>
        </w:rPr>
        <w:t>判，确定事件级别和响应等级，启动应急响应。</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仿宋_GB2312"/>
          <w:b/>
          <w:bCs/>
          <w:sz w:val="28"/>
          <w:szCs w:val="28"/>
        </w:rPr>
      </w:pPr>
      <w:r w:rsidRPr="00675A9A">
        <w:rPr>
          <w:rFonts w:asciiTheme="minorEastAsia" w:eastAsiaTheme="minorEastAsia" w:hAnsiTheme="minorEastAsia" w:cs="仿宋_GB2312" w:hint="eastAsia"/>
          <w:b/>
          <w:bCs/>
          <w:sz w:val="28"/>
          <w:szCs w:val="28"/>
        </w:rPr>
        <w:t>1.I</w:t>
      </w:r>
      <w:r w:rsidRPr="00675A9A">
        <w:rPr>
          <w:rFonts w:asciiTheme="minorEastAsia" w:eastAsiaTheme="minorEastAsia" w:hAnsiTheme="minorEastAsia" w:cs="仿宋_GB2312" w:hint="eastAsia"/>
          <w:b/>
          <w:bCs/>
          <w:sz w:val="28"/>
          <w:szCs w:val="28"/>
        </w:rPr>
        <w:t>级响应</w:t>
      </w:r>
      <w:r w:rsidRPr="00675A9A">
        <w:rPr>
          <w:rFonts w:asciiTheme="minorEastAsia" w:eastAsiaTheme="minorEastAsia" w:hAnsiTheme="minorEastAsia" w:cs="仿宋_GB2312"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根据国家数据安全工作协调机制有关决定或</w:t>
      </w:r>
      <w:proofErr w:type="gramStart"/>
      <w:r w:rsidRPr="00675A9A">
        <w:rPr>
          <w:rFonts w:asciiTheme="minorEastAsia" w:eastAsiaTheme="minorEastAsia" w:hAnsiTheme="minorEastAsia" w:cs="仿宋_GB2312" w:hint="eastAsia"/>
          <w:sz w:val="28"/>
          <w:szCs w:val="28"/>
        </w:rPr>
        <w:t>经部网信</w:t>
      </w:r>
      <w:proofErr w:type="gramEnd"/>
      <w:r w:rsidRPr="00675A9A">
        <w:rPr>
          <w:rFonts w:asciiTheme="minorEastAsia" w:eastAsiaTheme="minorEastAsia" w:hAnsiTheme="minorEastAsia" w:cs="仿宋_GB2312" w:hint="eastAsia"/>
          <w:sz w:val="28"/>
          <w:szCs w:val="28"/>
        </w:rPr>
        <w:t>领导小组批准后启动，由数据安全机制统一指挥、协调。</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工信厅立即</w:t>
      </w:r>
      <w:proofErr w:type="gramEnd"/>
      <w:r w:rsidRPr="00675A9A">
        <w:rPr>
          <w:rFonts w:asciiTheme="minorEastAsia" w:eastAsiaTheme="minorEastAsia" w:hAnsiTheme="minorEastAsia" w:cs="仿宋_GB2312" w:hint="eastAsia"/>
          <w:sz w:val="28"/>
          <w:szCs w:val="28"/>
        </w:rPr>
        <w:t>启动自治区数据安全事件应急预案，进入应急状态，实行</w:t>
      </w:r>
      <w:r w:rsidRPr="00675A9A">
        <w:rPr>
          <w:rFonts w:asciiTheme="minorEastAsia" w:eastAsiaTheme="minorEastAsia" w:hAnsiTheme="minorEastAsia" w:cs="仿宋_GB2312" w:hint="eastAsia"/>
          <w:sz w:val="28"/>
          <w:szCs w:val="28"/>
        </w:rPr>
        <w:t>24</w:t>
      </w:r>
      <w:r w:rsidRPr="00675A9A">
        <w:rPr>
          <w:rFonts w:asciiTheme="minorEastAsia" w:eastAsiaTheme="minorEastAsia" w:hAnsiTheme="minorEastAsia" w:cs="仿宋_GB2312" w:hint="eastAsia"/>
          <w:sz w:val="28"/>
          <w:szCs w:val="28"/>
        </w:rPr>
        <w:t>小时值班值守，相关人员保持联络畅通，派员参加工信</w:t>
      </w:r>
      <w:proofErr w:type="gramStart"/>
      <w:r w:rsidRPr="00675A9A">
        <w:rPr>
          <w:rFonts w:asciiTheme="minorEastAsia" w:eastAsiaTheme="minorEastAsia" w:hAnsiTheme="minorEastAsia" w:cs="仿宋_GB2312" w:hint="eastAsia"/>
          <w:sz w:val="28"/>
          <w:szCs w:val="28"/>
        </w:rPr>
        <w:t>部工业</w:t>
      </w:r>
      <w:proofErr w:type="gramEnd"/>
      <w:r w:rsidRPr="00675A9A">
        <w:rPr>
          <w:rFonts w:asciiTheme="minorEastAsia" w:eastAsiaTheme="minorEastAsia" w:hAnsiTheme="minorEastAsia" w:cs="仿宋_GB2312" w:hint="eastAsia"/>
          <w:sz w:val="28"/>
          <w:szCs w:val="28"/>
        </w:rPr>
        <w:t>和信息化领域数据安全工作机制工作。协助事件跟踪监测、</w:t>
      </w:r>
      <w:proofErr w:type="gramStart"/>
      <w:r w:rsidRPr="00675A9A">
        <w:rPr>
          <w:rFonts w:asciiTheme="minorEastAsia" w:eastAsiaTheme="minorEastAsia" w:hAnsiTheme="minorEastAsia" w:cs="仿宋_GB2312" w:hint="eastAsia"/>
          <w:sz w:val="28"/>
          <w:szCs w:val="28"/>
        </w:rPr>
        <w:t>研判分析</w:t>
      </w:r>
      <w:proofErr w:type="gramEnd"/>
      <w:r w:rsidRPr="00675A9A">
        <w:rPr>
          <w:rFonts w:asciiTheme="minorEastAsia" w:eastAsiaTheme="minorEastAsia" w:hAnsiTheme="minorEastAsia" w:cs="仿宋_GB2312" w:hint="eastAsia"/>
          <w:sz w:val="28"/>
          <w:szCs w:val="28"/>
        </w:rPr>
        <w:t>和排查处置，全面了解并及时提供相关数据</w:t>
      </w:r>
      <w:r w:rsidRPr="00675A9A">
        <w:rPr>
          <w:rFonts w:asciiTheme="minorEastAsia" w:eastAsiaTheme="minorEastAsia" w:hAnsiTheme="minorEastAsia" w:cs="仿宋_GB2312" w:hint="eastAsia"/>
          <w:w w:val="98"/>
          <w:sz w:val="28"/>
          <w:szCs w:val="28"/>
        </w:rPr>
        <w:t>处理者</w:t>
      </w:r>
      <w:proofErr w:type="gramStart"/>
      <w:r w:rsidRPr="00675A9A">
        <w:rPr>
          <w:rFonts w:asciiTheme="minorEastAsia" w:eastAsiaTheme="minorEastAsia" w:hAnsiTheme="minorEastAsia" w:cs="仿宋_GB2312" w:hint="eastAsia"/>
          <w:w w:val="98"/>
          <w:sz w:val="28"/>
          <w:szCs w:val="28"/>
        </w:rPr>
        <w:t>受事件</w:t>
      </w:r>
      <w:proofErr w:type="gramEnd"/>
      <w:r w:rsidRPr="00675A9A">
        <w:rPr>
          <w:rFonts w:asciiTheme="minorEastAsia" w:eastAsiaTheme="minorEastAsia" w:hAnsiTheme="minorEastAsia" w:cs="仿宋_GB2312" w:hint="eastAsia"/>
          <w:w w:val="98"/>
          <w:sz w:val="28"/>
          <w:szCs w:val="28"/>
        </w:rPr>
        <w:t>影响情况。如需现场检查配合工信部做好相关工作。</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涉事数据处理者立即进入应急状态</w:t>
      </w:r>
      <w:r w:rsidRPr="00675A9A">
        <w:rPr>
          <w:rFonts w:asciiTheme="minorEastAsia" w:eastAsiaTheme="minorEastAsia" w:hAnsiTheme="minorEastAsia" w:cs="仿宋_GB2312" w:hint="eastAsia"/>
          <w:sz w:val="28"/>
          <w:szCs w:val="28"/>
        </w:rPr>
        <w:t>,</w:t>
      </w:r>
      <w:r w:rsidRPr="00675A9A">
        <w:rPr>
          <w:rFonts w:asciiTheme="minorEastAsia" w:eastAsiaTheme="minorEastAsia" w:hAnsiTheme="minorEastAsia" w:cs="仿宋_GB2312" w:hint="eastAsia"/>
          <w:sz w:val="28"/>
          <w:szCs w:val="28"/>
        </w:rPr>
        <w:t>启动本单位应急预案</w:t>
      </w:r>
      <w:r w:rsidRPr="00675A9A">
        <w:rPr>
          <w:rFonts w:asciiTheme="minorEastAsia" w:eastAsiaTheme="minorEastAsia" w:hAnsiTheme="minorEastAsia" w:cs="仿宋_GB2312" w:hint="eastAsia"/>
          <w:sz w:val="28"/>
          <w:szCs w:val="28"/>
        </w:rPr>
        <w:t>,</w:t>
      </w:r>
      <w:r w:rsidRPr="00675A9A">
        <w:rPr>
          <w:rFonts w:asciiTheme="minorEastAsia" w:eastAsiaTheme="minorEastAsia" w:hAnsiTheme="minorEastAsia" w:cs="仿宋_GB2312" w:hint="eastAsia"/>
          <w:sz w:val="28"/>
          <w:szCs w:val="28"/>
        </w:rPr>
        <w:t>数据安全</w:t>
      </w:r>
      <w:r w:rsidRPr="00675A9A">
        <w:rPr>
          <w:rFonts w:asciiTheme="minorEastAsia" w:eastAsiaTheme="minorEastAsia" w:hAnsiTheme="minorEastAsia" w:cs="仿宋_GB2312" w:hint="eastAsia"/>
          <w:sz w:val="28"/>
          <w:szCs w:val="28"/>
        </w:rPr>
        <w:lastRenderedPageBreak/>
        <w:t>第一责任人（本单位法定代表人或主要负责人）牵头组建事件应对工作专班，组</w:t>
      </w:r>
      <w:r w:rsidRPr="00675A9A">
        <w:rPr>
          <w:rFonts w:asciiTheme="minorEastAsia" w:eastAsiaTheme="minorEastAsia" w:hAnsiTheme="minorEastAsia" w:cs="仿宋_GB2312" w:hint="eastAsia"/>
          <w:sz w:val="28"/>
          <w:szCs w:val="28"/>
        </w:rPr>
        <w:t>织研究应对措施，统筹开展应急处置工作。数据安全直接责任人（本单位数据安全工作分管领导）对应急处置工作进行具体部署，组织专班实行</w:t>
      </w:r>
      <w:r w:rsidRPr="00675A9A">
        <w:rPr>
          <w:rFonts w:asciiTheme="minorEastAsia" w:eastAsiaTheme="minorEastAsia" w:hAnsiTheme="minorEastAsia" w:cs="仿宋_GB2312" w:hint="eastAsia"/>
          <w:sz w:val="28"/>
          <w:szCs w:val="28"/>
        </w:rPr>
        <w:t>24</w:t>
      </w:r>
      <w:r w:rsidRPr="00675A9A">
        <w:rPr>
          <w:rFonts w:asciiTheme="minorEastAsia" w:eastAsiaTheme="minorEastAsia" w:hAnsiTheme="minorEastAsia" w:cs="仿宋_GB2312" w:hint="eastAsia"/>
          <w:sz w:val="28"/>
          <w:szCs w:val="28"/>
        </w:rPr>
        <w:t>小时值班值守，相关人员保持联络畅通。持续加强监测分析，跟踪事态发展，评估影响范围和事件原因，采取有效整改处置措施，并同时向自治区工</w:t>
      </w:r>
      <w:proofErr w:type="gramStart"/>
      <w:r w:rsidRPr="00675A9A">
        <w:rPr>
          <w:rFonts w:asciiTheme="minorEastAsia" w:eastAsiaTheme="minorEastAsia" w:hAnsiTheme="minorEastAsia" w:cs="仿宋_GB2312" w:hint="eastAsia"/>
          <w:sz w:val="28"/>
          <w:szCs w:val="28"/>
        </w:rPr>
        <w:t>信厅和属地工</w:t>
      </w:r>
      <w:proofErr w:type="gramEnd"/>
      <w:r w:rsidRPr="00675A9A">
        <w:rPr>
          <w:rFonts w:asciiTheme="minorEastAsia" w:eastAsiaTheme="minorEastAsia" w:hAnsiTheme="minorEastAsia" w:cs="仿宋_GB2312" w:hint="eastAsia"/>
          <w:sz w:val="28"/>
          <w:szCs w:val="28"/>
        </w:rPr>
        <w:t>信部门汇报工作进展和处置情况。</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自治区数据安全应急支撑机构进入应急状态，加强值班值守，相关人员保持联络畅通。持续加强监测分析，跟踪事态发展变化、处置进展情况，评估影响范围。</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仿宋_GB2312" w:hint="eastAsia"/>
          <w:b/>
          <w:bCs/>
          <w:sz w:val="28"/>
          <w:szCs w:val="28"/>
        </w:rPr>
        <w:t>2.</w:t>
      </w:r>
      <w:r w:rsidRPr="00675A9A">
        <w:rPr>
          <w:rFonts w:asciiTheme="minorEastAsia" w:eastAsiaTheme="minorEastAsia" w:hAnsiTheme="minorEastAsia" w:cs="仿宋_GB2312" w:hint="eastAsia"/>
          <w:b/>
          <w:bCs/>
          <w:sz w:val="28"/>
          <w:szCs w:val="28"/>
        </w:rPr>
        <w:t>Ⅱ级响应</w:t>
      </w:r>
      <w:r w:rsidRPr="00675A9A">
        <w:rPr>
          <w:rFonts w:asciiTheme="minorEastAsia" w:eastAsiaTheme="minorEastAsia" w:hAnsiTheme="minorEastAsia" w:cs="仿宋_GB2312"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由工信</w:t>
      </w:r>
      <w:proofErr w:type="gramStart"/>
      <w:r w:rsidRPr="00675A9A">
        <w:rPr>
          <w:rFonts w:asciiTheme="minorEastAsia" w:eastAsiaTheme="minorEastAsia" w:hAnsiTheme="minorEastAsia" w:cs="仿宋_GB2312" w:hint="eastAsia"/>
          <w:sz w:val="28"/>
          <w:szCs w:val="28"/>
        </w:rPr>
        <w:t>部工业</w:t>
      </w:r>
      <w:proofErr w:type="gramEnd"/>
      <w:r w:rsidRPr="00675A9A">
        <w:rPr>
          <w:rFonts w:asciiTheme="minorEastAsia" w:eastAsiaTheme="minorEastAsia" w:hAnsiTheme="minorEastAsia" w:cs="仿宋_GB2312" w:hint="eastAsia"/>
          <w:sz w:val="28"/>
          <w:szCs w:val="28"/>
        </w:rPr>
        <w:t>和信息化领域数据安全工作机制决定启动，</w:t>
      </w:r>
      <w:r w:rsidRPr="00675A9A">
        <w:rPr>
          <w:rFonts w:asciiTheme="minorEastAsia" w:eastAsiaTheme="minorEastAsia" w:hAnsiTheme="minorEastAsia" w:cs="仿宋_GB2312" w:hint="eastAsia"/>
          <w:sz w:val="28"/>
          <w:szCs w:val="28"/>
        </w:rPr>
        <w:t>并负责统一指挥、协调。</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w w:val="98"/>
          <w:sz w:val="28"/>
          <w:szCs w:val="28"/>
        </w:rPr>
      </w:pP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工信厅立即</w:t>
      </w:r>
      <w:proofErr w:type="gramEnd"/>
      <w:r w:rsidRPr="00675A9A">
        <w:rPr>
          <w:rFonts w:asciiTheme="minorEastAsia" w:eastAsiaTheme="minorEastAsia" w:hAnsiTheme="minorEastAsia" w:cs="仿宋_GB2312" w:hint="eastAsia"/>
          <w:sz w:val="28"/>
          <w:szCs w:val="28"/>
        </w:rPr>
        <w:t>启动自治区数据安全事件应急预案，进入应急状态，加强值班值守，相关人员保持联络畅通，派员参加工信</w:t>
      </w:r>
      <w:proofErr w:type="gramStart"/>
      <w:r w:rsidRPr="00675A9A">
        <w:rPr>
          <w:rFonts w:asciiTheme="minorEastAsia" w:eastAsiaTheme="minorEastAsia" w:hAnsiTheme="minorEastAsia" w:cs="仿宋_GB2312" w:hint="eastAsia"/>
          <w:sz w:val="28"/>
          <w:szCs w:val="28"/>
        </w:rPr>
        <w:t>部工业</w:t>
      </w:r>
      <w:proofErr w:type="gramEnd"/>
      <w:r w:rsidRPr="00675A9A">
        <w:rPr>
          <w:rFonts w:asciiTheme="minorEastAsia" w:eastAsiaTheme="minorEastAsia" w:hAnsiTheme="minorEastAsia" w:cs="仿宋_GB2312" w:hint="eastAsia"/>
          <w:sz w:val="28"/>
          <w:szCs w:val="28"/>
        </w:rPr>
        <w:t>和信息化领域数据安全工作机制工作。协助事件跟踪监测、</w:t>
      </w:r>
      <w:proofErr w:type="gramStart"/>
      <w:r w:rsidRPr="00675A9A">
        <w:rPr>
          <w:rFonts w:asciiTheme="minorEastAsia" w:eastAsiaTheme="minorEastAsia" w:hAnsiTheme="minorEastAsia" w:cs="仿宋_GB2312" w:hint="eastAsia"/>
          <w:sz w:val="28"/>
          <w:szCs w:val="28"/>
        </w:rPr>
        <w:t>研判分析</w:t>
      </w:r>
      <w:proofErr w:type="gramEnd"/>
      <w:r w:rsidRPr="00675A9A">
        <w:rPr>
          <w:rFonts w:asciiTheme="minorEastAsia" w:eastAsiaTheme="minorEastAsia" w:hAnsiTheme="minorEastAsia" w:cs="仿宋_GB2312" w:hint="eastAsia"/>
          <w:sz w:val="28"/>
          <w:szCs w:val="28"/>
        </w:rPr>
        <w:t>和排查处置，全面了解并及时提供相关数</w:t>
      </w:r>
      <w:r w:rsidRPr="00675A9A">
        <w:rPr>
          <w:rFonts w:asciiTheme="minorEastAsia" w:eastAsiaTheme="minorEastAsia" w:hAnsiTheme="minorEastAsia" w:cs="仿宋_GB2312" w:hint="eastAsia"/>
          <w:sz w:val="28"/>
          <w:szCs w:val="28"/>
        </w:rPr>
        <w:t>据处理者</w:t>
      </w:r>
      <w:proofErr w:type="gramStart"/>
      <w:r w:rsidRPr="00675A9A">
        <w:rPr>
          <w:rFonts w:asciiTheme="minorEastAsia" w:eastAsiaTheme="minorEastAsia" w:hAnsiTheme="minorEastAsia" w:cs="仿宋_GB2312" w:hint="eastAsia"/>
          <w:sz w:val="28"/>
          <w:szCs w:val="28"/>
        </w:rPr>
        <w:t>受事件</w:t>
      </w:r>
      <w:proofErr w:type="gramEnd"/>
      <w:r w:rsidRPr="00675A9A">
        <w:rPr>
          <w:rFonts w:asciiTheme="minorEastAsia" w:eastAsiaTheme="minorEastAsia" w:hAnsiTheme="minorEastAsia" w:cs="仿宋_GB2312" w:hint="eastAsia"/>
          <w:sz w:val="28"/>
          <w:szCs w:val="28"/>
        </w:rPr>
        <w:t>影响情况。如需现场检查配合工信部做好相关工作。</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涉事数据处理者立即进入应急状态</w:t>
      </w:r>
      <w:r w:rsidRPr="00675A9A">
        <w:rPr>
          <w:rFonts w:asciiTheme="minorEastAsia" w:eastAsiaTheme="minorEastAsia" w:hAnsiTheme="minorEastAsia" w:cs="仿宋_GB2312" w:hint="eastAsia"/>
          <w:sz w:val="28"/>
          <w:szCs w:val="28"/>
        </w:rPr>
        <w:t>,</w:t>
      </w:r>
      <w:r w:rsidRPr="00675A9A">
        <w:rPr>
          <w:rFonts w:asciiTheme="minorEastAsia" w:eastAsiaTheme="minorEastAsia" w:hAnsiTheme="minorEastAsia" w:cs="仿宋_GB2312" w:hint="eastAsia"/>
          <w:sz w:val="28"/>
          <w:szCs w:val="28"/>
        </w:rPr>
        <w:t>启动本单位应急预案</w:t>
      </w:r>
      <w:r w:rsidRPr="00675A9A">
        <w:rPr>
          <w:rFonts w:asciiTheme="minorEastAsia" w:eastAsiaTheme="minorEastAsia" w:hAnsiTheme="minorEastAsia" w:cs="仿宋_GB2312" w:hint="eastAsia"/>
          <w:sz w:val="28"/>
          <w:szCs w:val="28"/>
        </w:rPr>
        <w:t>,</w:t>
      </w:r>
      <w:r w:rsidRPr="00675A9A">
        <w:rPr>
          <w:rFonts w:asciiTheme="minorEastAsia" w:eastAsiaTheme="minorEastAsia" w:hAnsiTheme="minorEastAsia" w:cs="仿宋_GB2312" w:hint="eastAsia"/>
          <w:sz w:val="28"/>
          <w:szCs w:val="28"/>
        </w:rPr>
        <w:t>数据安全直接责任人牵头研究应对措施，统筹开展应急处置工作。加强值班值守，相关人员保持联络畅通。持续加强监测分析，跟踪事态发展，评估影响范围和事件原因，采取有效整改处置措施，并同时向自治区工</w:t>
      </w:r>
      <w:proofErr w:type="gramStart"/>
      <w:r w:rsidRPr="00675A9A">
        <w:rPr>
          <w:rFonts w:asciiTheme="minorEastAsia" w:eastAsiaTheme="minorEastAsia" w:hAnsiTheme="minorEastAsia" w:cs="仿宋_GB2312" w:hint="eastAsia"/>
          <w:sz w:val="28"/>
          <w:szCs w:val="28"/>
        </w:rPr>
        <w:t>信厅和属地工</w:t>
      </w:r>
      <w:proofErr w:type="gramEnd"/>
      <w:r w:rsidRPr="00675A9A">
        <w:rPr>
          <w:rFonts w:asciiTheme="minorEastAsia" w:eastAsiaTheme="minorEastAsia" w:hAnsiTheme="minorEastAsia" w:cs="仿宋_GB2312" w:hint="eastAsia"/>
          <w:sz w:val="28"/>
          <w:szCs w:val="28"/>
        </w:rPr>
        <w:lastRenderedPageBreak/>
        <w:t>信部门汇报工作进展和处置情况。</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自治区数据安全应急支撑机构进入应急状态，相关人员保持联络畅通。持续加强监测分析，跟踪事态发展变化、处置进展情况，评估影响范围。</w:t>
      </w:r>
    </w:p>
    <w:p w:rsidR="00224557" w:rsidRPr="00675A9A" w:rsidRDefault="00D81E73" w:rsidP="00675A9A">
      <w:pPr>
        <w:keepNext/>
        <w:overflowPunct w:val="0"/>
        <w:autoSpaceDE w:val="0"/>
        <w:autoSpaceDN w:val="0"/>
        <w:spacing w:after="0" w:line="480" w:lineRule="auto"/>
        <w:ind w:firstLineChars="200" w:firstLine="562"/>
        <w:textAlignment w:val="baseline"/>
        <w:rPr>
          <w:rFonts w:asciiTheme="minorEastAsia" w:eastAsiaTheme="minorEastAsia" w:hAnsiTheme="minorEastAsia" w:cs="仿宋_GB2312"/>
          <w:b/>
          <w:bCs/>
          <w:sz w:val="28"/>
          <w:szCs w:val="28"/>
        </w:rPr>
      </w:pPr>
      <w:r w:rsidRPr="00675A9A">
        <w:rPr>
          <w:rFonts w:asciiTheme="minorEastAsia" w:eastAsiaTheme="minorEastAsia" w:hAnsiTheme="minorEastAsia" w:cs="仿宋_GB2312" w:hint="eastAsia"/>
          <w:b/>
          <w:bCs/>
          <w:sz w:val="28"/>
          <w:szCs w:val="28"/>
        </w:rPr>
        <w:t>3.III</w:t>
      </w:r>
      <w:r w:rsidRPr="00675A9A">
        <w:rPr>
          <w:rFonts w:asciiTheme="minorEastAsia" w:eastAsiaTheme="minorEastAsia" w:hAnsiTheme="minorEastAsia" w:cs="仿宋_GB2312" w:hint="eastAsia"/>
          <w:b/>
          <w:bCs/>
          <w:sz w:val="28"/>
          <w:szCs w:val="28"/>
        </w:rPr>
        <w:t>级响应</w:t>
      </w:r>
      <w:r w:rsidRPr="00675A9A">
        <w:rPr>
          <w:rFonts w:asciiTheme="minorEastAsia" w:eastAsiaTheme="minorEastAsia" w:hAnsiTheme="minorEastAsia" w:cs="仿宋_GB2312"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由自治区</w:t>
      </w:r>
      <w:proofErr w:type="gramStart"/>
      <w:r w:rsidRPr="00675A9A">
        <w:rPr>
          <w:rFonts w:asciiTheme="minorEastAsia" w:eastAsiaTheme="minorEastAsia" w:hAnsiTheme="minorEastAsia" w:cs="仿宋_GB2312" w:hint="eastAsia"/>
          <w:sz w:val="28"/>
          <w:szCs w:val="28"/>
        </w:rPr>
        <w:t>工信厅</w:t>
      </w:r>
      <w:r w:rsidRPr="00675A9A">
        <w:rPr>
          <w:rFonts w:asciiTheme="minorEastAsia" w:eastAsiaTheme="minorEastAsia" w:hAnsiTheme="minorEastAsia" w:cs="仿宋_GB2312" w:hint="eastAsia"/>
          <w:sz w:val="28"/>
          <w:szCs w:val="28"/>
        </w:rPr>
        <w:t>按照</w:t>
      </w:r>
      <w:proofErr w:type="gramEnd"/>
      <w:r w:rsidRPr="00675A9A">
        <w:rPr>
          <w:rFonts w:asciiTheme="minorEastAsia" w:eastAsiaTheme="minorEastAsia" w:hAnsiTheme="minorEastAsia" w:cs="仿宋_GB2312" w:hint="eastAsia"/>
          <w:sz w:val="28"/>
          <w:szCs w:val="28"/>
        </w:rPr>
        <w:t>数据安全事件应急预案决定启动，并负责指挥、协调。</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各级工信部门</w:t>
      </w:r>
      <w:r w:rsidRPr="00675A9A">
        <w:rPr>
          <w:rFonts w:asciiTheme="minorEastAsia" w:eastAsiaTheme="minorEastAsia" w:hAnsiTheme="minorEastAsia" w:cs="仿宋_GB2312" w:hint="eastAsia"/>
          <w:sz w:val="28"/>
          <w:szCs w:val="28"/>
        </w:rPr>
        <w:t>组织涉事数据处理者、数据安全应急支撑机构等加强事态跟踪</w:t>
      </w:r>
      <w:proofErr w:type="gramStart"/>
      <w:r w:rsidRPr="00675A9A">
        <w:rPr>
          <w:rFonts w:asciiTheme="minorEastAsia" w:eastAsiaTheme="minorEastAsia" w:hAnsiTheme="minorEastAsia" w:cs="仿宋_GB2312" w:hint="eastAsia"/>
          <w:sz w:val="28"/>
          <w:szCs w:val="28"/>
        </w:rPr>
        <w:t>研</w:t>
      </w:r>
      <w:proofErr w:type="gramEnd"/>
      <w:r w:rsidRPr="00675A9A">
        <w:rPr>
          <w:rFonts w:asciiTheme="minorEastAsia" w:eastAsiaTheme="minorEastAsia" w:hAnsiTheme="minorEastAsia" w:cs="仿宋_GB2312" w:hint="eastAsia"/>
          <w:sz w:val="28"/>
          <w:szCs w:val="28"/>
        </w:rPr>
        <w:t>判、开展事件处置，及时将事件进展及重要情况报自治区工信厅，通知可能受影响的其他区域做好数据安全应急处置工作。</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涉事数据处理者持续开展监测分析，跟踪事态发展，评估影响范围和事件原因。加强相关业务系统应用安全加固措施，提升数据安全防护能力，及时采取整改处置措施，并及时汇报工作进展和处置情况。</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相关属地数据安全应急支撑机构持续加强监测分析，跟踪事态发展变化、处置进展情况，评估影响范围。</w:t>
      </w:r>
    </w:p>
    <w:p w:rsidR="00224557" w:rsidRPr="00675A9A" w:rsidRDefault="00D81E73" w:rsidP="00675A9A">
      <w:pPr>
        <w:keepNext/>
        <w:overflowPunct w:val="0"/>
        <w:autoSpaceDE w:val="0"/>
        <w:autoSpaceDN w:val="0"/>
        <w:spacing w:after="0" w:line="480" w:lineRule="auto"/>
        <w:ind w:firstLineChars="200" w:firstLine="562"/>
        <w:textAlignment w:val="baseline"/>
        <w:rPr>
          <w:rFonts w:asciiTheme="minorEastAsia" w:eastAsiaTheme="minorEastAsia" w:hAnsiTheme="minorEastAsia" w:cs="仿宋_GB2312"/>
          <w:b/>
          <w:bCs/>
          <w:sz w:val="28"/>
          <w:szCs w:val="28"/>
        </w:rPr>
      </w:pPr>
      <w:r w:rsidRPr="00675A9A">
        <w:rPr>
          <w:rFonts w:asciiTheme="minorEastAsia" w:eastAsiaTheme="minorEastAsia" w:hAnsiTheme="minorEastAsia" w:cs="仿宋_GB2312" w:hint="eastAsia"/>
          <w:b/>
          <w:bCs/>
          <w:sz w:val="28"/>
          <w:szCs w:val="28"/>
        </w:rPr>
        <w:t>4.</w:t>
      </w:r>
      <w:r w:rsidRPr="00675A9A">
        <w:rPr>
          <w:rFonts w:asciiTheme="minorEastAsia" w:eastAsiaTheme="minorEastAsia" w:hAnsiTheme="minorEastAsia" w:cs="仿宋_GB2312" w:hint="eastAsia"/>
          <w:b/>
          <w:bCs/>
          <w:sz w:val="28"/>
          <w:szCs w:val="28"/>
        </w:rPr>
        <w:t>Ⅳ级响应</w:t>
      </w:r>
      <w:r w:rsidRPr="00675A9A">
        <w:rPr>
          <w:rFonts w:asciiTheme="minorEastAsia" w:eastAsiaTheme="minorEastAsia" w:hAnsiTheme="minorEastAsia" w:cs="仿宋_GB2312" w:hint="eastAsia"/>
          <w:b/>
          <w:bCs/>
          <w:sz w:val="28"/>
          <w:szCs w:val="28"/>
        </w:rPr>
        <w:t>。</w:t>
      </w:r>
    </w:p>
    <w:p w:rsidR="00224557" w:rsidRPr="00675A9A" w:rsidRDefault="00D81E73" w:rsidP="00675A9A">
      <w:pPr>
        <w:keepNext/>
        <w:overflowPunct w:val="0"/>
        <w:autoSpaceDE w:val="0"/>
        <w:autoSpaceDN w:val="0"/>
        <w:spacing w:after="0" w:line="480" w:lineRule="auto"/>
        <w:ind w:firstLine="642"/>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涉事数据处理者</w:t>
      </w:r>
      <w:r w:rsidRPr="00675A9A">
        <w:rPr>
          <w:rFonts w:asciiTheme="minorEastAsia" w:eastAsiaTheme="minorEastAsia" w:hAnsiTheme="minorEastAsia" w:cs="仿宋_GB2312" w:hint="eastAsia"/>
          <w:sz w:val="28"/>
          <w:szCs w:val="28"/>
        </w:rPr>
        <w:t>应当按照行业数据安全保护相关政策标准及时采取有效措施处置事件，加强数据安全防护。</w:t>
      </w:r>
    </w:p>
    <w:p w:rsidR="00224557" w:rsidRPr="00675A9A" w:rsidRDefault="00D81E73" w:rsidP="00675A9A">
      <w:pPr>
        <w:keepNext/>
        <w:overflowPunct w:val="0"/>
        <w:autoSpaceDE w:val="0"/>
        <w:autoSpaceDN w:val="0"/>
        <w:spacing w:after="0" w:line="480" w:lineRule="auto"/>
        <w:ind w:firstLineChars="200" w:firstLine="562"/>
        <w:textAlignment w:val="baseline"/>
        <w:rPr>
          <w:rFonts w:asciiTheme="minorEastAsia" w:eastAsiaTheme="minorEastAsia" w:hAnsiTheme="minorEastAsia" w:cs="仿宋_GB2312"/>
          <w:b/>
          <w:bCs/>
          <w:sz w:val="28"/>
          <w:szCs w:val="28"/>
        </w:rPr>
      </w:pPr>
      <w:r w:rsidRPr="00675A9A">
        <w:rPr>
          <w:rFonts w:asciiTheme="minorEastAsia" w:eastAsiaTheme="minorEastAsia" w:hAnsiTheme="minorEastAsia" w:cs="仿宋_GB2312" w:hint="eastAsia"/>
          <w:b/>
          <w:bCs/>
          <w:sz w:val="28"/>
          <w:szCs w:val="28"/>
        </w:rPr>
        <w:t>5.</w:t>
      </w:r>
      <w:r w:rsidRPr="00675A9A">
        <w:rPr>
          <w:rFonts w:asciiTheme="minorEastAsia" w:eastAsiaTheme="minorEastAsia" w:hAnsiTheme="minorEastAsia" w:cs="仿宋_GB2312" w:hint="eastAsia"/>
          <w:b/>
          <w:bCs/>
          <w:sz w:val="28"/>
          <w:szCs w:val="28"/>
        </w:rPr>
        <w:t>响应级别调整</w:t>
      </w:r>
      <w:r w:rsidRPr="00675A9A">
        <w:rPr>
          <w:rFonts w:asciiTheme="minorEastAsia" w:eastAsiaTheme="minorEastAsia" w:hAnsiTheme="minorEastAsia" w:cs="仿宋_GB2312" w:hint="eastAsia"/>
          <w:b/>
          <w:bCs/>
          <w:sz w:val="28"/>
          <w:szCs w:val="28"/>
        </w:rPr>
        <w:t>。</w:t>
      </w:r>
    </w:p>
    <w:p w:rsidR="00224557" w:rsidRPr="00675A9A" w:rsidRDefault="00D81E73" w:rsidP="00675A9A">
      <w:pPr>
        <w:keepNext/>
        <w:overflowPunct w:val="0"/>
        <w:autoSpaceDE w:val="0"/>
        <w:autoSpaceDN w:val="0"/>
        <w:spacing w:after="0" w:line="480" w:lineRule="auto"/>
        <w:ind w:firstLine="64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涉事数据处理者</w:t>
      </w:r>
      <w:r w:rsidRPr="00675A9A">
        <w:rPr>
          <w:rFonts w:asciiTheme="minorEastAsia" w:eastAsiaTheme="minorEastAsia" w:hAnsiTheme="minorEastAsia" w:cs="仿宋_GB2312" w:hint="eastAsia"/>
          <w:sz w:val="28"/>
          <w:szCs w:val="28"/>
        </w:rPr>
        <w:t>可根据事态发展等情况，向</w:t>
      </w:r>
      <w:proofErr w:type="gramStart"/>
      <w:r w:rsidRPr="00675A9A">
        <w:rPr>
          <w:rFonts w:asciiTheme="minorEastAsia" w:eastAsiaTheme="minorEastAsia" w:hAnsiTheme="minorEastAsia" w:cs="仿宋_GB2312" w:hint="eastAsia"/>
          <w:sz w:val="28"/>
          <w:szCs w:val="28"/>
        </w:rPr>
        <w:t>属地工</w:t>
      </w:r>
      <w:proofErr w:type="gramEnd"/>
      <w:r w:rsidRPr="00675A9A">
        <w:rPr>
          <w:rFonts w:asciiTheme="minorEastAsia" w:eastAsiaTheme="minorEastAsia" w:hAnsiTheme="minorEastAsia" w:cs="仿宋_GB2312" w:hint="eastAsia"/>
          <w:sz w:val="28"/>
          <w:szCs w:val="28"/>
        </w:rPr>
        <w:t>信部门申请调整响应级别。</w:t>
      </w:r>
    </w:p>
    <w:p w:rsidR="00224557" w:rsidRPr="00675A9A" w:rsidRDefault="00D81E73" w:rsidP="00675A9A">
      <w:pPr>
        <w:keepNext/>
        <w:overflowPunct w:val="0"/>
        <w:autoSpaceDE w:val="0"/>
        <w:autoSpaceDN w:val="0"/>
        <w:spacing w:after="0" w:line="480" w:lineRule="auto"/>
        <w:ind w:firstLine="64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lastRenderedPageBreak/>
        <w:t>自治区工</w:t>
      </w:r>
      <w:proofErr w:type="gramStart"/>
      <w:r w:rsidRPr="00675A9A">
        <w:rPr>
          <w:rFonts w:asciiTheme="minorEastAsia" w:eastAsiaTheme="minorEastAsia" w:hAnsiTheme="minorEastAsia" w:cs="仿宋_GB2312" w:hint="eastAsia"/>
          <w:sz w:val="28"/>
          <w:szCs w:val="28"/>
        </w:rPr>
        <w:t>信厅根据属地工</w:t>
      </w:r>
      <w:proofErr w:type="gramEnd"/>
      <w:r w:rsidRPr="00675A9A">
        <w:rPr>
          <w:rFonts w:asciiTheme="minorEastAsia" w:eastAsiaTheme="minorEastAsia" w:hAnsiTheme="minorEastAsia" w:cs="仿宋_GB2312" w:hint="eastAsia"/>
          <w:sz w:val="28"/>
          <w:szCs w:val="28"/>
        </w:rPr>
        <w:t>信部门</w:t>
      </w:r>
      <w:r w:rsidRPr="00675A9A">
        <w:rPr>
          <w:rFonts w:asciiTheme="minorEastAsia" w:eastAsiaTheme="minorEastAsia" w:hAnsiTheme="minorEastAsia" w:cs="仿宋_GB2312" w:hint="eastAsia"/>
          <w:sz w:val="28"/>
          <w:szCs w:val="28"/>
        </w:rPr>
        <w:t>报送</w:t>
      </w:r>
      <w:r w:rsidRPr="00675A9A">
        <w:rPr>
          <w:rFonts w:asciiTheme="minorEastAsia" w:eastAsiaTheme="minorEastAsia" w:hAnsiTheme="minorEastAsia" w:cs="仿宋_GB2312" w:hint="eastAsia"/>
          <w:sz w:val="28"/>
          <w:szCs w:val="28"/>
        </w:rPr>
        <w:t>的</w:t>
      </w:r>
      <w:r w:rsidRPr="00675A9A">
        <w:rPr>
          <w:rFonts w:asciiTheme="minorEastAsia" w:eastAsiaTheme="minorEastAsia" w:hAnsiTheme="minorEastAsia" w:cs="仿宋_GB2312" w:hint="eastAsia"/>
          <w:sz w:val="28"/>
          <w:szCs w:val="28"/>
        </w:rPr>
        <w:t>涉事数据处理者</w:t>
      </w:r>
      <w:r w:rsidRPr="00675A9A">
        <w:rPr>
          <w:rFonts w:asciiTheme="minorEastAsia" w:eastAsiaTheme="minorEastAsia" w:hAnsiTheme="minorEastAsia" w:cs="仿宋_GB2312" w:hint="eastAsia"/>
          <w:sz w:val="28"/>
          <w:szCs w:val="28"/>
        </w:rPr>
        <w:t>申请情况或者事态发展情况等，适时调整事件响应级别。涉及</w:t>
      </w:r>
      <w:r w:rsidRPr="00675A9A">
        <w:rPr>
          <w:rFonts w:asciiTheme="minorEastAsia" w:eastAsiaTheme="minorEastAsia" w:hAnsiTheme="minorEastAsia" w:cs="仿宋_GB2312" w:hint="eastAsia"/>
          <w:sz w:val="28"/>
          <w:szCs w:val="28"/>
        </w:rPr>
        <w:t>I</w:t>
      </w:r>
      <w:r w:rsidRPr="00675A9A">
        <w:rPr>
          <w:rFonts w:asciiTheme="minorEastAsia" w:eastAsiaTheme="minorEastAsia" w:hAnsiTheme="minorEastAsia" w:cs="仿宋_GB2312" w:hint="eastAsia"/>
          <w:sz w:val="28"/>
          <w:szCs w:val="28"/>
        </w:rPr>
        <w:t>、</w:t>
      </w:r>
      <w:r w:rsidRPr="00675A9A">
        <w:rPr>
          <w:rFonts w:asciiTheme="minorEastAsia" w:eastAsiaTheme="minorEastAsia" w:hAnsiTheme="minorEastAsia" w:cs="仿宋_GB2312" w:hint="eastAsia"/>
          <w:sz w:val="28"/>
          <w:szCs w:val="28"/>
        </w:rPr>
        <w:t>II</w:t>
      </w:r>
      <w:r w:rsidRPr="00675A9A">
        <w:rPr>
          <w:rFonts w:asciiTheme="minorEastAsia" w:eastAsiaTheme="minorEastAsia" w:hAnsiTheme="minorEastAsia" w:cs="仿宋_GB2312" w:hint="eastAsia"/>
          <w:sz w:val="28"/>
          <w:szCs w:val="28"/>
        </w:rPr>
        <w:t>级响应级别调整</w:t>
      </w:r>
      <w:proofErr w:type="gramStart"/>
      <w:r w:rsidRPr="00675A9A">
        <w:rPr>
          <w:rFonts w:asciiTheme="minorEastAsia" w:eastAsiaTheme="minorEastAsia" w:hAnsiTheme="minorEastAsia" w:cs="仿宋_GB2312" w:hint="eastAsia"/>
          <w:sz w:val="28"/>
          <w:szCs w:val="28"/>
        </w:rPr>
        <w:t>的报</w:t>
      </w:r>
      <w:r w:rsidRPr="00675A9A">
        <w:rPr>
          <w:rFonts w:asciiTheme="minorEastAsia" w:eastAsiaTheme="minorEastAsia" w:hAnsiTheme="minorEastAsia" w:cs="仿宋_GB2312" w:hint="eastAsia"/>
          <w:sz w:val="28"/>
          <w:szCs w:val="28"/>
        </w:rPr>
        <w:t>工信</w:t>
      </w:r>
      <w:proofErr w:type="gramEnd"/>
      <w:r w:rsidRPr="00675A9A">
        <w:rPr>
          <w:rFonts w:asciiTheme="minorEastAsia" w:eastAsiaTheme="minorEastAsia" w:hAnsiTheme="minorEastAsia" w:cs="仿宋_GB2312" w:hint="eastAsia"/>
          <w:sz w:val="28"/>
          <w:szCs w:val="28"/>
        </w:rPr>
        <w:t>部同意</w:t>
      </w:r>
      <w:r w:rsidRPr="00675A9A">
        <w:rPr>
          <w:rFonts w:asciiTheme="minorEastAsia" w:eastAsiaTheme="minorEastAsia" w:hAnsiTheme="minorEastAsia" w:cs="仿宋_GB2312" w:hint="eastAsia"/>
          <w:sz w:val="28"/>
          <w:szCs w:val="28"/>
        </w:rPr>
        <w:t>。</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（五）舆情监测</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工信厅组织</w:t>
      </w:r>
      <w:proofErr w:type="gramEnd"/>
      <w:r w:rsidRPr="00675A9A">
        <w:rPr>
          <w:rFonts w:asciiTheme="minorEastAsia" w:eastAsiaTheme="minorEastAsia" w:hAnsiTheme="minorEastAsia" w:cs="仿宋_GB2312" w:hint="eastAsia"/>
          <w:sz w:val="28"/>
          <w:szCs w:val="28"/>
        </w:rPr>
        <w:t>监测公开信息发布渠道，密切关注数据安全事件舆情信息，跟踪掌握事件影响程度和范围。</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（六）结束响应</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事件的影响和危害得到控制或消除后，</w:t>
      </w:r>
      <w:r w:rsidRPr="00675A9A">
        <w:rPr>
          <w:rFonts w:asciiTheme="minorEastAsia" w:eastAsiaTheme="minorEastAsia" w:hAnsiTheme="minorEastAsia" w:cs="仿宋_GB2312" w:hint="eastAsia"/>
          <w:sz w:val="28"/>
          <w:szCs w:val="28"/>
        </w:rPr>
        <w:t>I</w:t>
      </w:r>
      <w:r w:rsidRPr="00675A9A">
        <w:rPr>
          <w:rFonts w:asciiTheme="minorEastAsia" w:eastAsiaTheme="minorEastAsia" w:hAnsiTheme="minorEastAsia" w:cs="仿宋_GB2312" w:hint="eastAsia"/>
          <w:sz w:val="28"/>
          <w:szCs w:val="28"/>
        </w:rPr>
        <w:t>级</w:t>
      </w:r>
      <w:r w:rsidRPr="00675A9A">
        <w:rPr>
          <w:rFonts w:asciiTheme="minorEastAsia" w:eastAsiaTheme="minorEastAsia" w:hAnsiTheme="minorEastAsia" w:cs="仿宋_GB2312" w:hint="eastAsia"/>
          <w:sz w:val="28"/>
          <w:szCs w:val="28"/>
        </w:rPr>
        <w:t>响应应当根据国家数据安全工作协调机制有关决定或</w:t>
      </w:r>
      <w:proofErr w:type="gramStart"/>
      <w:r w:rsidRPr="00675A9A">
        <w:rPr>
          <w:rFonts w:asciiTheme="minorEastAsia" w:eastAsiaTheme="minorEastAsia" w:hAnsiTheme="minorEastAsia" w:cs="仿宋_GB2312" w:hint="eastAsia"/>
          <w:sz w:val="28"/>
          <w:szCs w:val="28"/>
        </w:rPr>
        <w:t>经</w:t>
      </w:r>
      <w:r w:rsidRPr="00675A9A">
        <w:rPr>
          <w:rFonts w:asciiTheme="minorEastAsia" w:eastAsiaTheme="minorEastAsia" w:hAnsiTheme="minorEastAsia" w:cs="仿宋_GB2312" w:hint="eastAsia"/>
          <w:sz w:val="28"/>
          <w:szCs w:val="28"/>
        </w:rPr>
        <w:t>工信部网信</w:t>
      </w:r>
      <w:proofErr w:type="gramEnd"/>
      <w:r w:rsidRPr="00675A9A">
        <w:rPr>
          <w:rFonts w:asciiTheme="minorEastAsia" w:eastAsiaTheme="minorEastAsia" w:hAnsiTheme="minorEastAsia" w:cs="仿宋_GB2312" w:hint="eastAsia"/>
          <w:sz w:val="28"/>
          <w:szCs w:val="28"/>
        </w:rPr>
        <w:t>领导小组批准后结束。Ⅱ级响应由工信</w:t>
      </w:r>
      <w:proofErr w:type="gramStart"/>
      <w:r w:rsidRPr="00675A9A">
        <w:rPr>
          <w:rFonts w:asciiTheme="minorEastAsia" w:eastAsiaTheme="minorEastAsia" w:hAnsiTheme="minorEastAsia" w:cs="仿宋_GB2312" w:hint="eastAsia"/>
          <w:sz w:val="28"/>
          <w:szCs w:val="28"/>
        </w:rPr>
        <w:t>部工业</w:t>
      </w:r>
      <w:proofErr w:type="gramEnd"/>
      <w:r w:rsidRPr="00675A9A">
        <w:rPr>
          <w:rFonts w:asciiTheme="minorEastAsia" w:eastAsiaTheme="minorEastAsia" w:hAnsiTheme="minorEastAsia" w:cs="仿宋_GB2312" w:hint="eastAsia"/>
          <w:sz w:val="28"/>
          <w:szCs w:val="28"/>
        </w:rPr>
        <w:t>和信息化领域数据安全工作机制决定结束，并</w:t>
      </w:r>
      <w:proofErr w:type="gramStart"/>
      <w:r w:rsidRPr="00675A9A">
        <w:rPr>
          <w:rFonts w:asciiTheme="minorEastAsia" w:eastAsiaTheme="minorEastAsia" w:hAnsiTheme="minorEastAsia" w:cs="仿宋_GB2312" w:hint="eastAsia"/>
          <w:sz w:val="28"/>
          <w:szCs w:val="28"/>
        </w:rPr>
        <w:t>报</w:t>
      </w:r>
      <w:r w:rsidRPr="00675A9A">
        <w:rPr>
          <w:rFonts w:asciiTheme="minorEastAsia" w:eastAsiaTheme="minorEastAsia" w:hAnsiTheme="minorEastAsia" w:cs="仿宋_GB2312" w:hint="eastAsia"/>
          <w:sz w:val="28"/>
          <w:szCs w:val="28"/>
        </w:rPr>
        <w:t>工信部网信</w:t>
      </w:r>
      <w:proofErr w:type="gramEnd"/>
      <w:r w:rsidRPr="00675A9A">
        <w:rPr>
          <w:rFonts w:asciiTheme="minorEastAsia" w:eastAsiaTheme="minorEastAsia" w:hAnsiTheme="minorEastAsia" w:cs="仿宋_GB2312" w:hint="eastAsia"/>
          <w:sz w:val="28"/>
          <w:szCs w:val="28"/>
        </w:rPr>
        <w:t>领导小组。Ⅲ级响应由自治区</w:t>
      </w:r>
      <w:proofErr w:type="gramStart"/>
      <w:r w:rsidRPr="00675A9A">
        <w:rPr>
          <w:rFonts w:asciiTheme="minorEastAsia" w:eastAsiaTheme="minorEastAsia" w:hAnsiTheme="minorEastAsia" w:cs="仿宋_GB2312" w:hint="eastAsia"/>
          <w:sz w:val="28"/>
          <w:szCs w:val="28"/>
        </w:rPr>
        <w:t>工信厅</w:t>
      </w:r>
      <w:r w:rsidRPr="00675A9A">
        <w:rPr>
          <w:rFonts w:asciiTheme="minorEastAsia" w:eastAsiaTheme="minorEastAsia" w:hAnsiTheme="minorEastAsia" w:cs="仿宋_GB2312" w:hint="eastAsia"/>
          <w:sz w:val="28"/>
          <w:szCs w:val="28"/>
        </w:rPr>
        <w:t>决定</w:t>
      </w:r>
      <w:proofErr w:type="gramEnd"/>
      <w:r w:rsidRPr="00675A9A">
        <w:rPr>
          <w:rFonts w:asciiTheme="minorEastAsia" w:eastAsiaTheme="minorEastAsia" w:hAnsiTheme="minorEastAsia" w:cs="仿宋_GB2312" w:hint="eastAsia"/>
          <w:sz w:val="28"/>
          <w:szCs w:val="28"/>
        </w:rPr>
        <w:t>结束，并</w:t>
      </w:r>
      <w:proofErr w:type="gramStart"/>
      <w:r w:rsidRPr="00675A9A">
        <w:rPr>
          <w:rFonts w:asciiTheme="minorEastAsia" w:eastAsiaTheme="minorEastAsia" w:hAnsiTheme="minorEastAsia" w:cs="仿宋_GB2312" w:hint="eastAsia"/>
          <w:sz w:val="28"/>
          <w:szCs w:val="28"/>
        </w:rPr>
        <w:t>报工信部工业</w:t>
      </w:r>
      <w:proofErr w:type="gramEnd"/>
      <w:r w:rsidRPr="00675A9A">
        <w:rPr>
          <w:rFonts w:asciiTheme="minorEastAsia" w:eastAsiaTheme="minorEastAsia" w:hAnsiTheme="minorEastAsia" w:cs="仿宋_GB2312" w:hint="eastAsia"/>
          <w:sz w:val="28"/>
          <w:szCs w:val="28"/>
        </w:rPr>
        <w:t>和信息化领域数据安全工作机制。Ⅳ级响应由相</w:t>
      </w:r>
      <w:proofErr w:type="gramStart"/>
      <w:r w:rsidRPr="00675A9A">
        <w:rPr>
          <w:rFonts w:asciiTheme="minorEastAsia" w:eastAsiaTheme="minorEastAsia" w:hAnsiTheme="minorEastAsia" w:cs="仿宋_GB2312" w:hint="eastAsia"/>
          <w:sz w:val="28"/>
          <w:szCs w:val="28"/>
        </w:rPr>
        <w:t>关</w:t>
      </w:r>
      <w:r w:rsidRPr="00675A9A">
        <w:rPr>
          <w:rFonts w:asciiTheme="minorEastAsia" w:eastAsiaTheme="minorEastAsia" w:hAnsiTheme="minorEastAsia" w:cs="仿宋_GB2312" w:hint="eastAsia"/>
          <w:sz w:val="28"/>
          <w:szCs w:val="28"/>
        </w:rPr>
        <w:t>涉事</w:t>
      </w:r>
      <w:proofErr w:type="gramEnd"/>
      <w:r w:rsidRPr="00675A9A">
        <w:rPr>
          <w:rFonts w:asciiTheme="minorEastAsia" w:eastAsiaTheme="minorEastAsia" w:hAnsiTheme="minorEastAsia" w:cs="仿宋_GB2312" w:hint="eastAsia"/>
          <w:sz w:val="28"/>
          <w:szCs w:val="28"/>
        </w:rPr>
        <w:t>数据处理者</w:t>
      </w:r>
      <w:r w:rsidRPr="00675A9A">
        <w:rPr>
          <w:rFonts w:asciiTheme="minorEastAsia" w:eastAsiaTheme="minorEastAsia" w:hAnsiTheme="minorEastAsia" w:cs="仿宋_GB2312" w:hint="eastAsia"/>
          <w:sz w:val="28"/>
          <w:szCs w:val="28"/>
        </w:rPr>
        <w:t>决定结束，并报盟市工信部门。</w:t>
      </w:r>
    </w:p>
    <w:p w:rsidR="00224557" w:rsidRPr="00675A9A" w:rsidRDefault="00D81E73" w:rsidP="00675A9A">
      <w:pPr>
        <w:keepNext/>
        <w:overflowPunct w:val="0"/>
        <w:autoSpaceDE w:val="0"/>
        <w:autoSpaceDN w:val="0"/>
        <w:spacing w:after="0" w:line="480" w:lineRule="auto"/>
        <w:ind w:firstLineChars="200" w:firstLine="560"/>
        <w:textAlignment w:val="baseline"/>
        <w:outlineLvl w:val="1"/>
        <w:rPr>
          <w:rFonts w:asciiTheme="minorEastAsia" w:eastAsiaTheme="minorEastAsia" w:hAnsiTheme="minorEastAsia" w:cs="黑体"/>
          <w:sz w:val="28"/>
          <w:szCs w:val="28"/>
        </w:rPr>
      </w:pPr>
      <w:r w:rsidRPr="00675A9A">
        <w:rPr>
          <w:rFonts w:asciiTheme="minorEastAsia" w:eastAsiaTheme="minorEastAsia" w:hAnsiTheme="minorEastAsia" w:cs="黑体" w:hint="eastAsia"/>
          <w:sz w:val="28"/>
          <w:szCs w:val="28"/>
        </w:rPr>
        <w:t>五、事后总结</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（一）事件总结上报</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较大</w:t>
      </w:r>
      <w:r w:rsidRPr="00675A9A">
        <w:rPr>
          <w:rFonts w:asciiTheme="minorEastAsia" w:eastAsiaTheme="minorEastAsia" w:hAnsiTheme="minorEastAsia" w:cs="仿宋_GB2312" w:hint="eastAsia"/>
          <w:sz w:val="28"/>
          <w:szCs w:val="28"/>
        </w:rPr>
        <w:t>及以上数据安全事件应急工作结束后，涉事数据处理者应当及时调查事件的起因、经过、责任，评估事件造成的影响和损失，总结事件防范和应急处置工作的经验教训，提出处理意见和改进措施，在应急工作结束后</w:t>
      </w:r>
      <w:r w:rsidRPr="00675A9A">
        <w:rPr>
          <w:rFonts w:asciiTheme="minorEastAsia" w:eastAsiaTheme="minorEastAsia" w:hAnsiTheme="minorEastAsia" w:cs="仿宋_GB2312" w:hint="eastAsia"/>
          <w:sz w:val="28"/>
          <w:szCs w:val="28"/>
        </w:rPr>
        <w:t>3</w:t>
      </w:r>
      <w:r w:rsidRPr="00675A9A">
        <w:rPr>
          <w:rFonts w:asciiTheme="minorEastAsia" w:eastAsiaTheme="minorEastAsia" w:hAnsiTheme="minorEastAsia" w:cs="仿宋_GB2312" w:hint="eastAsia"/>
          <w:sz w:val="28"/>
          <w:szCs w:val="28"/>
        </w:rPr>
        <w:t>个工作日内形成总结报告（</w:t>
      </w:r>
      <w:r w:rsidRPr="00675A9A">
        <w:rPr>
          <w:rFonts w:asciiTheme="minorEastAsia" w:eastAsiaTheme="minorEastAsia" w:hAnsiTheme="minorEastAsia" w:cs="仿宋_GB2312" w:hint="eastAsia"/>
          <w:sz w:val="28"/>
          <w:szCs w:val="28"/>
        </w:rPr>
        <w:t>模板见附件</w:t>
      </w:r>
      <w:r w:rsidRPr="00675A9A">
        <w:rPr>
          <w:rFonts w:asciiTheme="minorEastAsia" w:eastAsiaTheme="minorEastAsia" w:hAnsiTheme="minorEastAsia" w:cs="仿宋_GB2312" w:hint="eastAsia"/>
          <w:sz w:val="28"/>
          <w:szCs w:val="28"/>
        </w:rPr>
        <w:t>3</w:t>
      </w:r>
      <w:r w:rsidRPr="00675A9A">
        <w:rPr>
          <w:rFonts w:asciiTheme="minorEastAsia" w:eastAsiaTheme="minorEastAsia" w:hAnsiTheme="minorEastAsia" w:cs="仿宋_GB2312" w:hint="eastAsia"/>
          <w:sz w:val="28"/>
          <w:szCs w:val="28"/>
        </w:rPr>
        <w:t>），报</w:t>
      </w:r>
      <w:r w:rsidRPr="00675A9A">
        <w:rPr>
          <w:rFonts w:asciiTheme="minorEastAsia" w:eastAsiaTheme="minorEastAsia" w:hAnsiTheme="minorEastAsia" w:cs="仿宋_GB2312" w:hint="eastAsia"/>
          <w:sz w:val="28"/>
          <w:szCs w:val="28"/>
        </w:rPr>
        <w:t>盟市工信</w:t>
      </w:r>
      <w:r w:rsidRPr="00675A9A">
        <w:rPr>
          <w:rFonts w:asciiTheme="minorEastAsia" w:eastAsiaTheme="minorEastAsia" w:hAnsiTheme="minorEastAsia" w:cs="仿宋_GB2312" w:hint="eastAsia"/>
          <w:sz w:val="28"/>
          <w:szCs w:val="28"/>
        </w:rPr>
        <w:t>部门。</w:t>
      </w:r>
      <w:r w:rsidRPr="00675A9A">
        <w:rPr>
          <w:rFonts w:asciiTheme="minorEastAsia" w:eastAsiaTheme="minorEastAsia" w:hAnsiTheme="minorEastAsia" w:cs="仿宋_GB2312" w:hint="eastAsia"/>
          <w:sz w:val="28"/>
          <w:szCs w:val="28"/>
        </w:rPr>
        <w:t>盟市工信</w:t>
      </w:r>
      <w:r w:rsidRPr="00675A9A">
        <w:rPr>
          <w:rFonts w:asciiTheme="minorEastAsia" w:eastAsiaTheme="minorEastAsia" w:hAnsiTheme="minorEastAsia" w:cs="仿宋_GB2312" w:hint="eastAsia"/>
          <w:sz w:val="28"/>
          <w:szCs w:val="28"/>
        </w:rPr>
        <w:t>部门汇总审核后，在应急工作结束后</w:t>
      </w:r>
      <w:r w:rsidRPr="00675A9A">
        <w:rPr>
          <w:rFonts w:asciiTheme="minorEastAsia" w:eastAsiaTheme="minorEastAsia" w:hAnsiTheme="minorEastAsia" w:cs="仿宋_GB2312" w:hint="eastAsia"/>
          <w:sz w:val="28"/>
          <w:szCs w:val="28"/>
        </w:rPr>
        <w:t>7</w:t>
      </w:r>
      <w:r w:rsidRPr="00675A9A">
        <w:rPr>
          <w:rFonts w:asciiTheme="minorEastAsia" w:eastAsiaTheme="minorEastAsia" w:hAnsiTheme="minorEastAsia" w:cs="仿宋_GB2312" w:hint="eastAsia"/>
          <w:sz w:val="28"/>
          <w:szCs w:val="28"/>
        </w:rPr>
        <w:t>个工作日内形成报告报送自治区</w:t>
      </w:r>
      <w:r w:rsidRPr="00675A9A">
        <w:rPr>
          <w:rFonts w:asciiTheme="minorEastAsia" w:eastAsiaTheme="minorEastAsia" w:hAnsiTheme="minorEastAsia" w:cs="仿宋_GB2312" w:hint="eastAsia"/>
          <w:sz w:val="28"/>
          <w:szCs w:val="28"/>
        </w:rPr>
        <w:t>工信厅，重大及以上</w:t>
      </w:r>
      <w:r w:rsidRPr="00675A9A">
        <w:rPr>
          <w:rFonts w:asciiTheme="minorEastAsia" w:eastAsiaTheme="minorEastAsia" w:hAnsiTheme="minorEastAsia" w:cs="仿宋_GB2312" w:hint="eastAsia"/>
          <w:sz w:val="28"/>
          <w:szCs w:val="28"/>
        </w:rPr>
        <w:t>数据安全事件，自治区</w:t>
      </w:r>
      <w:proofErr w:type="gramStart"/>
      <w:r w:rsidRPr="00675A9A">
        <w:rPr>
          <w:rFonts w:asciiTheme="minorEastAsia" w:eastAsiaTheme="minorEastAsia" w:hAnsiTheme="minorEastAsia" w:cs="仿宋_GB2312" w:hint="eastAsia"/>
          <w:sz w:val="28"/>
          <w:szCs w:val="28"/>
        </w:rPr>
        <w:t>工信厅在</w:t>
      </w:r>
      <w:proofErr w:type="gramEnd"/>
      <w:r w:rsidRPr="00675A9A">
        <w:rPr>
          <w:rFonts w:asciiTheme="minorEastAsia" w:eastAsiaTheme="minorEastAsia" w:hAnsiTheme="minorEastAsia" w:cs="仿宋_GB2312" w:hint="eastAsia"/>
          <w:sz w:val="28"/>
          <w:szCs w:val="28"/>
        </w:rPr>
        <w:t>应急工作结束后</w:t>
      </w:r>
      <w:r w:rsidRPr="00675A9A">
        <w:rPr>
          <w:rFonts w:asciiTheme="minorEastAsia" w:eastAsiaTheme="minorEastAsia" w:hAnsiTheme="minorEastAsia" w:cs="仿宋_GB2312" w:hint="eastAsia"/>
          <w:sz w:val="28"/>
          <w:szCs w:val="28"/>
        </w:rPr>
        <w:t>10</w:t>
      </w:r>
      <w:r w:rsidRPr="00675A9A">
        <w:rPr>
          <w:rFonts w:asciiTheme="minorEastAsia" w:eastAsiaTheme="minorEastAsia" w:hAnsiTheme="minorEastAsia" w:cs="仿宋_GB2312" w:hint="eastAsia"/>
          <w:sz w:val="28"/>
          <w:szCs w:val="28"/>
        </w:rPr>
        <w:lastRenderedPageBreak/>
        <w:t>个</w:t>
      </w:r>
      <w:proofErr w:type="gramStart"/>
      <w:r w:rsidRPr="00675A9A">
        <w:rPr>
          <w:rFonts w:asciiTheme="minorEastAsia" w:eastAsiaTheme="minorEastAsia" w:hAnsiTheme="minorEastAsia" w:cs="仿宋_GB2312" w:hint="eastAsia"/>
          <w:sz w:val="28"/>
          <w:szCs w:val="28"/>
        </w:rPr>
        <w:t>工作日内报工信</w:t>
      </w:r>
      <w:proofErr w:type="gramEnd"/>
      <w:r w:rsidRPr="00675A9A">
        <w:rPr>
          <w:rFonts w:asciiTheme="minorEastAsia" w:eastAsiaTheme="minorEastAsia" w:hAnsiTheme="minorEastAsia" w:cs="仿宋_GB2312" w:hint="eastAsia"/>
          <w:sz w:val="28"/>
          <w:szCs w:val="28"/>
        </w:rPr>
        <w:t>部。</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工业和信息化领域数据处理者应当每年向本</w:t>
      </w:r>
      <w:proofErr w:type="gramStart"/>
      <w:r w:rsidRPr="00675A9A">
        <w:rPr>
          <w:rFonts w:asciiTheme="minorEastAsia" w:eastAsiaTheme="minorEastAsia" w:hAnsiTheme="minorEastAsia" w:cs="仿宋_GB2312" w:hint="eastAsia"/>
          <w:sz w:val="28"/>
          <w:szCs w:val="28"/>
        </w:rPr>
        <w:t>地区工</w:t>
      </w:r>
      <w:proofErr w:type="gramEnd"/>
      <w:r w:rsidRPr="00675A9A">
        <w:rPr>
          <w:rFonts w:asciiTheme="minorEastAsia" w:eastAsiaTheme="minorEastAsia" w:hAnsiTheme="minorEastAsia" w:cs="仿宋_GB2312" w:hint="eastAsia"/>
          <w:sz w:val="28"/>
          <w:szCs w:val="28"/>
        </w:rPr>
        <w:t>信部门报告数据安全事件处置情况，各</w:t>
      </w:r>
      <w:r w:rsidRPr="00675A9A">
        <w:rPr>
          <w:rFonts w:asciiTheme="minorEastAsia" w:eastAsiaTheme="minorEastAsia" w:hAnsiTheme="minorEastAsia" w:cs="仿宋_GB2312" w:hint="eastAsia"/>
          <w:sz w:val="28"/>
          <w:szCs w:val="28"/>
        </w:rPr>
        <w:t>盟市</w:t>
      </w:r>
      <w:r w:rsidRPr="00675A9A">
        <w:rPr>
          <w:rFonts w:asciiTheme="minorEastAsia" w:eastAsiaTheme="minorEastAsia" w:hAnsiTheme="minorEastAsia" w:cs="仿宋_GB2312" w:hint="eastAsia"/>
          <w:sz w:val="28"/>
          <w:szCs w:val="28"/>
        </w:rPr>
        <w:t>工信部门应当于每年</w:t>
      </w:r>
      <w:r w:rsidRPr="00675A9A">
        <w:rPr>
          <w:rFonts w:asciiTheme="minorEastAsia" w:eastAsiaTheme="minorEastAsia" w:hAnsiTheme="minorEastAsia" w:cs="仿宋_GB2312" w:hint="eastAsia"/>
          <w:sz w:val="28"/>
          <w:szCs w:val="28"/>
        </w:rPr>
        <w:t>12</w:t>
      </w:r>
      <w:r w:rsidRPr="00675A9A">
        <w:rPr>
          <w:rFonts w:asciiTheme="minorEastAsia" w:eastAsiaTheme="minorEastAsia" w:hAnsiTheme="minorEastAsia" w:cs="仿宋_GB2312" w:hint="eastAsia"/>
          <w:sz w:val="28"/>
          <w:szCs w:val="28"/>
        </w:rPr>
        <w:t>月</w:t>
      </w:r>
      <w:r w:rsidRPr="00675A9A">
        <w:rPr>
          <w:rFonts w:asciiTheme="minorEastAsia" w:eastAsiaTheme="minorEastAsia" w:hAnsiTheme="minorEastAsia" w:cs="仿宋_GB2312" w:hint="eastAsia"/>
          <w:sz w:val="28"/>
          <w:szCs w:val="28"/>
        </w:rPr>
        <w:t>31</w:t>
      </w:r>
      <w:r w:rsidRPr="00675A9A">
        <w:rPr>
          <w:rFonts w:asciiTheme="minorEastAsia" w:eastAsiaTheme="minorEastAsia" w:hAnsiTheme="minorEastAsia" w:cs="仿宋_GB2312" w:hint="eastAsia"/>
          <w:sz w:val="28"/>
          <w:szCs w:val="28"/>
        </w:rPr>
        <w:t>日前将本地区本领域年度数据安全事件处置</w:t>
      </w:r>
      <w:proofErr w:type="gramStart"/>
      <w:r w:rsidRPr="00675A9A">
        <w:rPr>
          <w:rFonts w:asciiTheme="minorEastAsia" w:eastAsiaTheme="minorEastAsia" w:hAnsiTheme="minorEastAsia" w:cs="仿宋_GB2312" w:hint="eastAsia"/>
          <w:sz w:val="28"/>
          <w:szCs w:val="28"/>
        </w:rPr>
        <w:t>情况报</w:t>
      </w:r>
      <w:r w:rsidRPr="00675A9A">
        <w:rPr>
          <w:rFonts w:asciiTheme="minorEastAsia" w:eastAsiaTheme="minorEastAsia" w:hAnsiTheme="minorEastAsia" w:cs="仿宋_GB2312" w:hint="eastAsia"/>
          <w:sz w:val="28"/>
          <w:szCs w:val="28"/>
        </w:rPr>
        <w:t>工信</w:t>
      </w:r>
      <w:proofErr w:type="gramEnd"/>
      <w:r w:rsidRPr="00675A9A">
        <w:rPr>
          <w:rFonts w:asciiTheme="minorEastAsia" w:eastAsiaTheme="minorEastAsia" w:hAnsiTheme="minorEastAsia" w:cs="仿宋_GB2312" w:hint="eastAsia"/>
          <w:sz w:val="28"/>
          <w:szCs w:val="28"/>
        </w:rPr>
        <w:t>厅</w:t>
      </w:r>
      <w:r w:rsidRPr="00675A9A">
        <w:rPr>
          <w:rFonts w:asciiTheme="minorEastAsia" w:eastAsiaTheme="minorEastAsia" w:hAnsiTheme="minorEastAsia" w:cs="仿宋_GB2312" w:hint="eastAsia"/>
          <w:sz w:val="28"/>
          <w:szCs w:val="28"/>
        </w:rPr>
        <w:t>。</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（二）事件警示</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工信部门应及时向本地区工业和信息化领域发布警示信息，引导做好数据安全风险防范。</w:t>
      </w:r>
    </w:p>
    <w:p w:rsidR="00224557" w:rsidRPr="00675A9A" w:rsidRDefault="00D81E73" w:rsidP="00675A9A">
      <w:pPr>
        <w:pStyle w:val="10"/>
        <w:overflowPunct w:val="0"/>
        <w:autoSpaceDE w:val="0"/>
        <w:autoSpaceDN w:val="0"/>
        <w:spacing w:after="0" w:line="480" w:lineRule="auto"/>
        <w:ind w:firstLineChars="200" w:firstLine="560"/>
        <w:textAlignment w:val="baseline"/>
        <w:rPr>
          <w:rFonts w:asciiTheme="minorEastAsia" w:hAnsiTheme="minorEastAsia" w:cs="黑体"/>
          <w:b w:val="0"/>
          <w:bCs/>
          <w:sz w:val="28"/>
          <w:szCs w:val="28"/>
        </w:rPr>
      </w:pPr>
      <w:r w:rsidRPr="00675A9A">
        <w:rPr>
          <w:rFonts w:asciiTheme="minorEastAsia" w:hAnsiTheme="minorEastAsia" w:cs="黑体" w:hint="eastAsia"/>
          <w:b w:val="0"/>
          <w:bCs/>
          <w:sz w:val="28"/>
          <w:szCs w:val="28"/>
        </w:rPr>
        <w:t>六、预防措施</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（一）预防保护</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业和信息化领域数据处理者应当根据有关法律法规和标准的规定，建立健全数据安全管理制度，建设数据安全应急技术手段，重要数据和核心数据处理者应当每年至少开展一次数据安全风险评估和自查自纠，及时消除风险隐患。各级工信部门依法开展数据安全监督检查，指导督促相关单位消除风险隐患。</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（二）应急演练</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工信厅每年</w:t>
      </w:r>
      <w:proofErr w:type="gramEnd"/>
      <w:r w:rsidRPr="00675A9A">
        <w:rPr>
          <w:rFonts w:asciiTheme="minorEastAsia" w:eastAsiaTheme="minorEastAsia" w:hAnsiTheme="minorEastAsia" w:cs="仿宋_GB2312" w:hint="eastAsia"/>
          <w:sz w:val="28"/>
          <w:szCs w:val="28"/>
        </w:rPr>
        <w:t>选择一个重点行业开展一次示范性数据安全事件应急演练。</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各盟市工信部门定期组织开展数据安全事件应急演练，提高数据安全事件应对能力。</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工业和信息化领域数据处理者应当积极参与工信部门的应急演练，本单位每年至少组织开展一次数据安全事件应急演练，并将应急演练情况上</w:t>
      </w:r>
      <w:r w:rsidRPr="00675A9A">
        <w:rPr>
          <w:rFonts w:asciiTheme="minorEastAsia" w:eastAsiaTheme="minorEastAsia" w:hAnsiTheme="minorEastAsia" w:cs="仿宋_GB2312" w:hint="eastAsia"/>
          <w:sz w:val="28"/>
          <w:szCs w:val="28"/>
        </w:rPr>
        <w:lastRenderedPageBreak/>
        <w:t>报</w:t>
      </w:r>
      <w:proofErr w:type="gramStart"/>
      <w:r w:rsidRPr="00675A9A">
        <w:rPr>
          <w:rFonts w:asciiTheme="minorEastAsia" w:eastAsiaTheme="minorEastAsia" w:hAnsiTheme="minorEastAsia" w:cs="仿宋_GB2312" w:hint="eastAsia"/>
          <w:sz w:val="28"/>
          <w:szCs w:val="28"/>
        </w:rPr>
        <w:t>属地工</w:t>
      </w:r>
      <w:proofErr w:type="gramEnd"/>
      <w:r w:rsidRPr="00675A9A">
        <w:rPr>
          <w:rFonts w:asciiTheme="minorEastAsia" w:eastAsiaTheme="minorEastAsia" w:hAnsiTheme="minorEastAsia" w:cs="仿宋_GB2312" w:hint="eastAsia"/>
          <w:sz w:val="28"/>
          <w:szCs w:val="28"/>
        </w:rPr>
        <w:t>信部门，</w:t>
      </w:r>
      <w:proofErr w:type="gramStart"/>
      <w:r w:rsidRPr="00675A9A">
        <w:rPr>
          <w:rFonts w:asciiTheme="minorEastAsia" w:eastAsiaTheme="minorEastAsia" w:hAnsiTheme="minorEastAsia" w:cs="仿宋_GB2312" w:hint="eastAsia"/>
          <w:sz w:val="28"/>
          <w:szCs w:val="28"/>
        </w:rPr>
        <w:t>属地工</w:t>
      </w:r>
      <w:proofErr w:type="gramEnd"/>
      <w:r w:rsidRPr="00675A9A">
        <w:rPr>
          <w:rFonts w:asciiTheme="minorEastAsia" w:eastAsiaTheme="minorEastAsia" w:hAnsiTheme="minorEastAsia" w:cs="仿宋_GB2312" w:hint="eastAsia"/>
          <w:sz w:val="28"/>
          <w:szCs w:val="28"/>
        </w:rPr>
        <w:t>信部门于每年</w:t>
      </w:r>
      <w:r w:rsidRPr="00675A9A">
        <w:rPr>
          <w:rFonts w:asciiTheme="minorEastAsia" w:eastAsiaTheme="minorEastAsia" w:hAnsiTheme="minorEastAsia" w:cs="仿宋_GB2312" w:hint="eastAsia"/>
          <w:sz w:val="28"/>
          <w:szCs w:val="28"/>
        </w:rPr>
        <w:t>11</w:t>
      </w:r>
      <w:r w:rsidRPr="00675A9A">
        <w:rPr>
          <w:rFonts w:asciiTheme="minorEastAsia" w:eastAsiaTheme="minorEastAsia" w:hAnsiTheme="minorEastAsia" w:cs="仿宋_GB2312" w:hint="eastAsia"/>
          <w:sz w:val="28"/>
          <w:szCs w:val="28"/>
        </w:rPr>
        <w:t>月底前</w:t>
      </w:r>
      <w:r w:rsidRPr="00675A9A">
        <w:rPr>
          <w:rFonts w:asciiTheme="minorEastAsia" w:eastAsiaTheme="minorEastAsia" w:hAnsiTheme="minorEastAsia" w:cs="仿宋_GB2312" w:hint="eastAsia"/>
          <w:sz w:val="28"/>
          <w:szCs w:val="28"/>
        </w:rPr>
        <w:t>向自治区</w:t>
      </w:r>
      <w:proofErr w:type="gramStart"/>
      <w:r w:rsidRPr="00675A9A">
        <w:rPr>
          <w:rFonts w:asciiTheme="minorEastAsia" w:eastAsiaTheme="minorEastAsia" w:hAnsiTheme="minorEastAsia" w:cs="仿宋_GB2312" w:hint="eastAsia"/>
          <w:sz w:val="28"/>
          <w:szCs w:val="28"/>
        </w:rPr>
        <w:t>工信厅报告</w:t>
      </w:r>
      <w:proofErr w:type="gramEnd"/>
      <w:r w:rsidRPr="00675A9A">
        <w:rPr>
          <w:rFonts w:asciiTheme="minorEastAsia" w:eastAsiaTheme="minorEastAsia" w:hAnsiTheme="minorEastAsia" w:cs="仿宋_GB2312" w:hint="eastAsia"/>
          <w:sz w:val="28"/>
          <w:szCs w:val="28"/>
        </w:rPr>
        <w:t>本地区应急演练开展整体情况。</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（三）宣传培训</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工信部门应当组织开展数据安全事件应急相关法律法规、应急预案和基本知识的宣传教育和培训，提高相关单位和社会公众的数据安全意识和防护、应</w:t>
      </w:r>
      <w:r w:rsidRPr="00675A9A">
        <w:rPr>
          <w:rFonts w:asciiTheme="minorEastAsia" w:eastAsiaTheme="minorEastAsia" w:hAnsiTheme="minorEastAsia" w:cs="仿宋_GB2312" w:hint="eastAsia"/>
          <w:sz w:val="28"/>
          <w:szCs w:val="28"/>
        </w:rPr>
        <w:t>急能力。</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工业和信息化领域数据处理者应当面向本单位员工加强数据安全应急宣传教育和培训，鼓励开展各种形式的数据安全应急竞赛。</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仿宋_GB2312"/>
          <w:b/>
          <w:bCs/>
          <w:sz w:val="28"/>
          <w:szCs w:val="28"/>
        </w:rPr>
      </w:pPr>
      <w:r w:rsidRPr="00675A9A">
        <w:rPr>
          <w:rFonts w:asciiTheme="minorEastAsia" w:eastAsiaTheme="minorEastAsia" w:hAnsiTheme="minorEastAsia" w:cs="楷体" w:hint="eastAsia"/>
          <w:b/>
          <w:bCs/>
          <w:sz w:val="28"/>
          <w:szCs w:val="28"/>
        </w:rPr>
        <w:t>（四）能力建设</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工信厅统筹</w:t>
      </w:r>
      <w:proofErr w:type="gramEnd"/>
      <w:r w:rsidRPr="00675A9A">
        <w:rPr>
          <w:rFonts w:asciiTheme="minorEastAsia" w:eastAsiaTheme="minorEastAsia" w:hAnsiTheme="minorEastAsia" w:cs="仿宋_GB2312" w:hint="eastAsia"/>
          <w:sz w:val="28"/>
          <w:szCs w:val="28"/>
        </w:rPr>
        <w:t>建设自治区工业和信息化领域数据安全监测预警与应急处置相关技术手段，对数据泄露、篡改、非法访问、违规传输、流量异常等安全风险和事件进行监测预警，并及时开展应急处置。</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各盟市工信</w:t>
      </w:r>
      <w:r w:rsidRPr="00675A9A">
        <w:rPr>
          <w:rFonts w:asciiTheme="minorEastAsia" w:eastAsiaTheme="minorEastAsia" w:hAnsiTheme="minorEastAsia" w:cs="仿宋_GB2312" w:hint="eastAsia"/>
          <w:sz w:val="28"/>
          <w:szCs w:val="28"/>
        </w:rPr>
        <w:t>部门应当建立数据安全监测预警与应急处置能力，组织相关企业开展数据安全风险和事件监测预警工作，及时开展风险和事件应急处置。</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工业和信息化领域数据处理者等单位应当开展数据安全风险和事件监测，积极配合工信部门开展数据安全风险监测和技术能力联动等工作，及时排查安全隐患，采取必要的措施防范、处置数据安全风险和事件。</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（五）重大活动期间的预防措施</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在重大活动期间，自治区</w:t>
      </w:r>
      <w:proofErr w:type="gramStart"/>
      <w:r w:rsidRPr="00675A9A">
        <w:rPr>
          <w:rFonts w:asciiTheme="minorEastAsia" w:eastAsiaTheme="minorEastAsia" w:hAnsiTheme="minorEastAsia" w:cs="仿宋_GB2312" w:hint="eastAsia"/>
          <w:sz w:val="28"/>
          <w:szCs w:val="28"/>
        </w:rPr>
        <w:t>工信厅组织</w:t>
      </w:r>
      <w:proofErr w:type="gramEnd"/>
      <w:r w:rsidRPr="00675A9A">
        <w:rPr>
          <w:rFonts w:asciiTheme="minorEastAsia" w:eastAsiaTheme="minorEastAsia" w:hAnsiTheme="minorEastAsia" w:cs="仿宋_GB2312" w:hint="eastAsia"/>
          <w:sz w:val="28"/>
          <w:szCs w:val="28"/>
        </w:rPr>
        <w:t>指导工业和信息化领域数据处理者、数据安全应急支撑机构和专家组等加强数据安全风险监测、威胁</w:t>
      </w:r>
      <w:proofErr w:type="gramStart"/>
      <w:r w:rsidRPr="00675A9A">
        <w:rPr>
          <w:rFonts w:asciiTheme="minorEastAsia" w:eastAsiaTheme="minorEastAsia" w:hAnsiTheme="minorEastAsia" w:cs="仿宋_GB2312" w:hint="eastAsia"/>
          <w:sz w:val="28"/>
          <w:szCs w:val="28"/>
        </w:rPr>
        <w:t>研</w:t>
      </w:r>
      <w:proofErr w:type="gramEnd"/>
      <w:r w:rsidRPr="00675A9A">
        <w:rPr>
          <w:rFonts w:asciiTheme="minorEastAsia" w:eastAsiaTheme="minorEastAsia" w:hAnsiTheme="minorEastAsia" w:cs="仿宋_GB2312" w:hint="eastAsia"/>
          <w:sz w:val="28"/>
          <w:szCs w:val="28"/>
        </w:rPr>
        <w:t>判</w:t>
      </w:r>
      <w:r w:rsidRPr="00675A9A">
        <w:rPr>
          <w:rFonts w:asciiTheme="minorEastAsia" w:eastAsiaTheme="minorEastAsia" w:hAnsiTheme="minorEastAsia" w:cs="仿宋_GB2312" w:hint="eastAsia"/>
          <w:sz w:val="28"/>
          <w:szCs w:val="28"/>
        </w:rPr>
        <w:lastRenderedPageBreak/>
        <w:t>和事件处置，强化风险防范与应对措施。相关重点部门、重点岗位加强值班值守。</w:t>
      </w:r>
    </w:p>
    <w:p w:rsidR="00224557" w:rsidRPr="00675A9A" w:rsidRDefault="00D81E73" w:rsidP="00675A9A">
      <w:pPr>
        <w:pStyle w:val="10"/>
        <w:overflowPunct w:val="0"/>
        <w:autoSpaceDE w:val="0"/>
        <w:autoSpaceDN w:val="0"/>
        <w:spacing w:after="0" w:line="480" w:lineRule="auto"/>
        <w:ind w:firstLineChars="200" w:firstLine="560"/>
        <w:textAlignment w:val="baseline"/>
        <w:rPr>
          <w:rFonts w:asciiTheme="minorEastAsia" w:hAnsiTheme="minorEastAsia" w:cs="黑体"/>
          <w:b w:val="0"/>
          <w:bCs/>
          <w:sz w:val="28"/>
          <w:szCs w:val="28"/>
        </w:rPr>
      </w:pPr>
      <w:r w:rsidRPr="00675A9A">
        <w:rPr>
          <w:rFonts w:asciiTheme="minorEastAsia" w:hAnsiTheme="minorEastAsia" w:cs="黑体" w:hint="eastAsia"/>
          <w:b w:val="0"/>
          <w:bCs/>
          <w:sz w:val="28"/>
          <w:szCs w:val="28"/>
        </w:rPr>
        <w:t>七、保障措施</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（一）落实责任</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自治区工</w:t>
      </w:r>
      <w:proofErr w:type="gramStart"/>
      <w:r w:rsidRPr="00675A9A">
        <w:rPr>
          <w:rFonts w:asciiTheme="minorEastAsia" w:eastAsiaTheme="minorEastAsia" w:hAnsiTheme="minorEastAsia" w:cs="仿宋_GB2312" w:hint="eastAsia"/>
          <w:sz w:val="28"/>
          <w:szCs w:val="28"/>
        </w:rPr>
        <w:t>信厅加强</w:t>
      </w:r>
      <w:proofErr w:type="gramEnd"/>
      <w:r w:rsidRPr="00675A9A">
        <w:rPr>
          <w:rFonts w:asciiTheme="minorEastAsia" w:eastAsiaTheme="minorEastAsia" w:hAnsiTheme="minorEastAsia" w:cs="仿宋_GB2312" w:hint="eastAsia"/>
          <w:sz w:val="28"/>
          <w:szCs w:val="28"/>
        </w:rPr>
        <w:t>数据安全事件应急处置工作督导和落实。盟市</w:t>
      </w:r>
      <w:r w:rsidRPr="00675A9A">
        <w:rPr>
          <w:rFonts w:asciiTheme="minorEastAsia" w:eastAsiaTheme="minorEastAsia" w:hAnsiTheme="minorEastAsia" w:cs="仿宋_GB2312" w:hint="eastAsia"/>
          <w:sz w:val="28"/>
          <w:szCs w:val="28"/>
        </w:rPr>
        <w:t>、</w:t>
      </w:r>
      <w:r w:rsidRPr="00675A9A">
        <w:rPr>
          <w:rFonts w:asciiTheme="minorEastAsia" w:eastAsiaTheme="minorEastAsia" w:hAnsiTheme="minorEastAsia" w:cs="仿宋_GB2312" w:hint="eastAsia"/>
          <w:sz w:val="28"/>
          <w:szCs w:val="28"/>
        </w:rPr>
        <w:t>旗县（区）工信局</w:t>
      </w:r>
      <w:r w:rsidRPr="00675A9A">
        <w:rPr>
          <w:rFonts w:asciiTheme="minorEastAsia" w:eastAsiaTheme="minorEastAsia" w:hAnsiTheme="minorEastAsia" w:cs="仿宋_GB2312" w:hint="eastAsia"/>
          <w:sz w:val="28"/>
          <w:szCs w:val="28"/>
        </w:rPr>
        <w:t>、</w:t>
      </w:r>
      <w:r w:rsidRPr="00675A9A">
        <w:rPr>
          <w:rFonts w:asciiTheme="minorEastAsia" w:eastAsiaTheme="minorEastAsia" w:hAnsiTheme="minorEastAsia" w:cs="仿宋_GB2312" w:hint="eastAsia"/>
          <w:sz w:val="28"/>
          <w:szCs w:val="28"/>
        </w:rPr>
        <w:t>无线电管理机构</w:t>
      </w:r>
      <w:r w:rsidRPr="00675A9A">
        <w:rPr>
          <w:rFonts w:asciiTheme="minorEastAsia" w:eastAsiaTheme="minorEastAsia" w:hAnsiTheme="minorEastAsia" w:cs="仿宋_GB2312" w:hint="eastAsia"/>
          <w:sz w:val="28"/>
          <w:szCs w:val="28"/>
        </w:rPr>
        <w:t>、工业和信息化领域数据处理者、数据安全应急支撑机构应当建立健全数据安全应急工作体制机制，把责任落实到单位负责人、具体部门、具体岗位和个</w:t>
      </w:r>
      <w:r w:rsidRPr="00675A9A">
        <w:rPr>
          <w:rFonts w:asciiTheme="minorEastAsia" w:eastAsiaTheme="minorEastAsia" w:hAnsiTheme="minorEastAsia" w:cs="仿宋_GB2312" w:hint="eastAsia"/>
          <w:sz w:val="28"/>
          <w:szCs w:val="28"/>
        </w:rPr>
        <w:t>人</w:t>
      </w:r>
      <w:r w:rsidRPr="00675A9A">
        <w:rPr>
          <w:rFonts w:asciiTheme="minorEastAsia" w:eastAsiaTheme="minorEastAsia" w:hAnsiTheme="minorEastAsia" w:cs="仿宋_GB2312" w:hint="eastAsia"/>
          <w:sz w:val="28"/>
          <w:szCs w:val="28"/>
        </w:rPr>
        <w:t>。</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（二）奖惩问责</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对数据安全事件应急处置工作中</w:t>
      </w:r>
      <w:proofErr w:type="gramStart"/>
      <w:r w:rsidRPr="00675A9A">
        <w:rPr>
          <w:rFonts w:asciiTheme="minorEastAsia" w:eastAsiaTheme="minorEastAsia" w:hAnsiTheme="minorEastAsia" w:cs="仿宋_GB2312" w:hint="eastAsia"/>
          <w:sz w:val="28"/>
          <w:szCs w:val="28"/>
        </w:rPr>
        <w:t>作出</w:t>
      </w:r>
      <w:proofErr w:type="gramEnd"/>
      <w:r w:rsidRPr="00675A9A">
        <w:rPr>
          <w:rFonts w:asciiTheme="minorEastAsia" w:eastAsiaTheme="minorEastAsia" w:hAnsiTheme="minorEastAsia" w:cs="仿宋_GB2312" w:hint="eastAsia"/>
          <w:sz w:val="28"/>
          <w:szCs w:val="28"/>
        </w:rPr>
        <w:t>突出贡献的集体和个人给予表扬。</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对</w:t>
      </w:r>
      <w:r w:rsidRPr="00675A9A">
        <w:rPr>
          <w:rFonts w:asciiTheme="minorEastAsia" w:eastAsiaTheme="minorEastAsia" w:hAnsiTheme="minorEastAsia" w:cs="仿宋_GB2312" w:hint="eastAsia"/>
          <w:sz w:val="28"/>
          <w:szCs w:val="28"/>
        </w:rPr>
        <w:t>未</w:t>
      </w:r>
      <w:r w:rsidRPr="00675A9A">
        <w:rPr>
          <w:rFonts w:asciiTheme="minorEastAsia" w:eastAsiaTheme="minorEastAsia" w:hAnsiTheme="minorEastAsia" w:cs="仿宋_GB2312" w:hint="eastAsia"/>
          <w:sz w:val="28"/>
          <w:szCs w:val="28"/>
        </w:rPr>
        <w:t>按照本预案开展数据安全事件应急处置工作的，相关部门依法依规对数据处理者进行约谈或给予行政处罚。</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（三）经费保障</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各级工信部门为数据安全事件应急处置工作提供必要的经费保障。</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工业和信息化领域数据处理者应当安排一定的专项资金，支持本单位数据安全应急队伍建设</w:t>
      </w:r>
      <w:r w:rsidRPr="00675A9A">
        <w:rPr>
          <w:rFonts w:asciiTheme="minorEastAsia" w:eastAsiaTheme="minorEastAsia" w:hAnsiTheme="minorEastAsia" w:cs="仿宋_GB2312" w:hint="eastAsia"/>
          <w:sz w:val="28"/>
          <w:szCs w:val="28"/>
        </w:rPr>
        <w:t>、能力建设、应急演练、应急培训等工作开展。</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（四）工作协同</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自治区</w:t>
      </w:r>
      <w:proofErr w:type="gramStart"/>
      <w:r w:rsidRPr="00675A9A">
        <w:rPr>
          <w:rFonts w:asciiTheme="minorEastAsia" w:eastAsiaTheme="minorEastAsia" w:hAnsiTheme="minorEastAsia" w:cs="仿宋_GB2312" w:hint="eastAsia"/>
          <w:sz w:val="28"/>
          <w:szCs w:val="28"/>
        </w:rPr>
        <w:t>工信厅与其</w:t>
      </w:r>
      <w:proofErr w:type="gramEnd"/>
      <w:r w:rsidRPr="00675A9A">
        <w:rPr>
          <w:rFonts w:asciiTheme="minorEastAsia" w:eastAsiaTheme="minorEastAsia" w:hAnsiTheme="minorEastAsia" w:cs="仿宋_GB2312" w:hint="eastAsia"/>
          <w:sz w:val="28"/>
          <w:szCs w:val="28"/>
        </w:rPr>
        <w:t>他相关部门加强沟通协调，支持相关企业、科研院所、高等学校开展应急技术攻关、产品服务和能力供给，培养数据安全应急技术人才，形成应急响应工作合力。</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lastRenderedPageBreak/>
        <w:t>（五）物资保障</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各级工信部门</w:t>
      </w:r>
      <w:r w:rsidRPr="00675A9A">
        <w:rPr>
          <w:rFonts w:asciiTheme="minorEastAsia" w:eastAsiaTheme="minorEastAsia" w:hAnsiTheme="minorEastAsia" w:cs="仿宋_GB2312" w:hint="eastAsia"/>
          <w:sz w:val="28"/>
          <w:szCs w:val="28"/>
        </w:rPr>
        <w:t>、数据安全应急支撑机构、工业和信息化领域数据处理者应当加强对数据安全应急装备、工具的储备，及时调整、升级、优化软件硬件工具，不断增强应急技术支撑能力。</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（六）保密管理</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各级工信部门</w:t>
      </w:r>
      <w:r w:rsidRPr="00675A9A">
        <w:rPr>
          <w:rFonts w:asciiTheme="minorEastAsia" w:eastAsiaTheme="minorEastAsia" w:hAnsiTheme="minorEastAsia" w:cs="仿宋_GB2312" w:hint="eastAsia"/>
          <w:sz w:val="28"/>
          <w:szCs w:val="28"/>
        </w:rPr>
        <w:t>、数据安全应急支撑机构</w:t>
      </w:r>
      <w:r w:rsidRPr="00675A9A">
        <w:rPr>
          <w:rFonts w:asciiTheme="minorEastAsia" w:eastAsiaTheme="minorEastAsia" w:hAnsiTheme="minorEastAsia" w:cs="仿宋_GB2312" w:hint="eastAsia"/>
          <w:sz w:val="28"/>
          <w:szCs w:val="28"/>
        </w:rPr>
        <w:t>工作人员对在履行职责中知悉的个人信息和商业秘密等，应当严格保密，不得泄露或者非法向他人提供。</w:t>
      </w:r>
    </w:p>
    <w:p w:rsidR="00224557" w:rsidRPr="00675A9A" w:rsidRDefault="00D81E73" w:rsidP="00675A9A">
      <w:pPr>
        <w:pStyle w:val="10"/>
        <w:overflowPunct w:val="0"/>
        <w:autoSpaceDE w:val="0"/>
        <w:autoSpaceDN w:val="0"/>
        <w:spacing w:after="0" w:line="480" w:lineRule="auto"/>
        <w:ind w:firstLineChars="200" w:firstLine="560"/>
        <w:textAlignment w:val="baseline"/>
        <w:rPr>
          <w:rFonts w:asciiTheme="minorEastAsia" w:hAnsiTheme="minorEastAsia" w:cs="黑体"/>
          <w:b w:val="0"/>
          <w:bCs/>
          <w:sz w:val="28"/>
          <w:szCs w:val="28"/>
        </w:rPr>
      </w:pPr>
      <w:r w:rsidRPr="00675A9A">
        <w:rPr>
          <w:rFonts w:asciiTheme="minorEastAsia" w:hAnsiTheme="minorEastAsia" w:cs="黑体" w:hint="eastAsia"/>
          <w:b w:val="0"/>
          <w:bCs/>
          <w:sz w:val="28"/>
          <w:szCs w:val="28"/>
        </w:rPr>
        <w:t>八、附则</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（一）预案修订</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本预案根据实际情况和工信部相关要求，由</w:t>
      </w:r>
      <w:r w:rsidRPr="00675A9A">
        <w:rPr>
          <w:rFonts w:asciiTheme="minorEastAsia" w:eastAsiaTheme="minorEastAsia" w:hAnsiTheme="minorEastAsia" w:cs="仿宋_GB2312" w:hint="eastAsia"/>
          <w:sz w:val="28"/>
          <w:szCs w:val="28"/>
        </w:rPr>
        <w:t>内蒙古自治区</w:t>
      </w:r>
      <w:r w:rsidRPr="00675A9A">
        <w:rPr>
          <w:rFonts w:asciiTheme="minorEastAsia" w:eastAsiaTheme="minorEastAsia" w:hAnsiTheme="minorEastAsia" w:cs="仿宋_GB2312" w:hint="eastAsia"/>
          <w:sz w:val="28"/>
          <w:szCs w:val="28"/>
        </w:rPr>
        <w:t>工业和信息化厅适时修订。</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（二）排除条款</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涉及军事、国家秘密信息等数据安全事件应急响应的，按照国家有关规定执行。</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（三）预案解释</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本预案由</w:t>
      </w:r>
      <w:r w:rsidRPr="00675A9A">
        <w:rPr>
          <w:rFonts w:asciiTheme="minorEastAsia" w:eastAsiaTheme="minorEastAsia" w:hAnsiTheme="minorEastAsia" w:cs="仿宋_GB2312" w:hint="eastAsia"/>
          <w:sz w:val="28"/>
          <w:szCs w:val="28"/>
        </w:rPr>
        <w:t>内蒙古自治区</w:t>
      </w:r>
      <w:r w:rsidRPr="00675A9A">
        <w:rPr>
          <w:rFonts w:asciiTheme="minorEastAsia" w:eastAsiaTheme="minorEastAsia" w:hAnsiTheme="minorEastAsia" w:cs="仿宋_GB2312" w:hint="eastAsia"/>
          <w:sz w:val="28"/>
          <w:szCs w:val="28"/>
        </w:rPr>
        <w:t>工业和信息化厅负责解释。</w:t>
      </w:r>
    </w:p>
    <w:p w:rsidR="00224557" w:rsidRPr="00675A9A" w:rsidRDefault="00D81E73" w:rsidP="00675A9A">
      <w:pPr>
        <w:keepNext/>
        <w:overflowPunct w:val="0"/>
        <w:autoSpaceDE w:val="0"/>
        <w:autoSpaceDN w:val="0"/>
        <w:spacing w:after="0" w:line="480" w:lineRule="auto"/>
        <w:ind w:firstLineChars="200" w:firstLine="562"/>
        <w:textAlignment w:val="baseline"/>
        <w:outlineLvl w:val="1"/>
        <w:rPr>
          <w:rFonts w:asciiTheme="minorEastAsia" w:eastAsiaTheme="minorEastAsia" w:hAnsiTheme="minorEastAsia" w:cs="楷体"/>
          <w:b/>
          <w:bCs/>
          <w:sz w:val="28"/>
          <w:szCs w:val="28"/>
        </w:rPr>
      </w:pPr>
      <w:r w:rsidRPr="00675A9A">
        <w:rPr>
          <w:rFonts w:asciiTheme="minorEastAsia" w:eastAsiaTheme="minorEastAsia" w:hAnsiTheme="minorEastAsia" w:cs="楷体" w:hint="eastAsia"/>
          <w:b/>
          <w:bCs/>
          <w:sz w:val="28"/>
          <w:szCs w:val="28"/>
        </w:rPr>
        <w:t>（四）实施日期</w:t>
      </w:r>
      <w:r w:rsidRPr="00675A9A">
        <w:rPr>
          <w:rFonts w:asciiTheme="minorEastAsia" w:eastAsiaTheme="minorEastAsia" w:hAnsiTheme="minorEastAsia" w:cs="楷体" w:hint="eastAsia"/>
          <w:b/>
          <w:bCs/>
          <w:sz w:val="28"/>
          <w:szCs w:val="28"/>
        </w:rPr>
        <w:t>。</w:t>
      </w:r>
    </w:p>
    <w:p w:rsidR="00224557"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t>本预案自印发之日起实施。</w:t>
      </w:r>
    </w:p>
    <w:p w:rsidR="00224557" w:rsidRPr="00675A9A" w:rsidRDefault="00224557"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sz w:val="28"/>
          <w:szCs w:val="28"/>
        </w:rPr>
      </w:pPr>
    </w:p>
    <w:p w:rsidR="00675A9A" w:rsidRPr="00675A9A" w:rsidRDefault="00D81E73" w:rsidP="00675A9A">
      <w:pPr>
        <w:keepNext/>
        <w:overflowPunct w:val="0"/>
        <w:autoSpaceDE w:val="0"/>
        <w:autoSpaceDN w:val="0"/>
        <w:spacing w:after="0" w:line="480" w:lineRule="auto"/>
        <w:ind w:firstLineChars="200" w:firstLine="560"/>
        <w:textAlignment w:val="baseline"/>
        <w:rPr>
          <w:rFonts w:asciiTheme="minorEastAsia" w:eastAsiaTheme="minorEastAsia" w:hAnsiTheme="minorEastAsia" w:cs="仿宋_GB2312" w:hint="eastAsia"/>
          <w:sz w:val="28"/>
          <w:szCs w:val="28"/>
        </w:rPr>
      </w:pPr>
      <w:r w:rsidRPr="00675A9A">
        <w:rPr>
          <w:rFonts w:asciiTheme="minorEastAsia" w:eastAsiaTheme="minorEastAsia" w:hAnsiTheme="minorEastAsia" w:cs="仿宋_GB2312" w:hint="eastAsia"/>
          <w:sz w:val="28"/>
          <w:szCs w:val="28"/>
        </w:rPr>
        <w:t>附件：</w:t>
      </w:r>
      <w:r w:rsidRPr="00675A9A">
        <w:rPr>
          <w:rFonts w:asciiTheme="minorEastAsia" w:eastAsiaTheme="minorEastAsia" w:hAnsiTheme="minorEastAsia" w:cs="仿宋_GB2312" w:hint="eastAsia"/>
          <w:sz w:val="28"/>
          <w:szCs w:val="28"/>
        </w:rPr>
        <w:t>1.</w:t>
      </w:r>
      <w:r w:rsidRPr="00675A9A">
        <w:rPr>
          <w:rFonts w:asciiTheme="minorEastAsia" w:eastAsiaTheme="minorEastAsia" w:hAnsiTheme="minorEastAsia" w:cs="仿宋_GB2312" w:hint="eastAsia"/>
          <w:sz w:val="28"/>
          <w:szCs w:val="28"/>
        </w:rPr>
        <w:t>工业和信息化领域数据安全事件分级</w:t>
      </w:r>
    </w:p>
    <w:p w:rsidR="00675A9A" w:rsidRPr="00675A9A" w:rsidRDefault="00D81E73" w:rsidP="00675A9A">
      <w:pPr>
        <w:keepNext/>
        <w:overflowPunct w:val="0"/>
        <w:autoSpaceDE w:val="0"/>
        <w:autoSpaceDN w:val="0"/>
        <w:spacing w:after="0" w:line="480" w:lineRule="auto"/>
        <w:ind w:firstLineChars="500" w:firstLine="1400"/>
        <w:textAlignment w:val="baseline"/>
        <w:rPr>
          <w:rFonts w:asciiTheme="minorEastAsia" w:eastAsiaTheme="minorEastAsia" w:hAnsiTheme="minorEastAsia" w:cs="仿宋_GB2312" w:hint="eastAsia"/>
          <w:sz w:val="28"/>
          <w:szCs w:val="28"/>
        </w:rPr>
      </w:pPr>
      <w:r w:rsidRPr="00675A9A">
        <w:rPr>
          <w:rFonts w:asciiTheme="minorEastAsia" w:eastAsiaTheme="minorEastAsia" w:hAnsiTheme="minorEastAsia" w:cs="仿宋_GB2312" w:hint="eastAsia"/>
          <w:sz w:val="28"/>
          <w:szCs w:val="28"/>
        </w:rPr>
        <w:t>2.</w:t>
      </w:r>
      <w:r w:rsidRPr="00675A9A">
        <w:rPr>
          <w:rFonts w:asciiTheme="minorEastAsia" w:eastAsiaTheme="minorEastAsia" w:hAnsiTheme="minorEastAsia" w:cs="仿宋_GB2312" w:hint="eastAsia"/>
          <w:sz w:val="28"/>
          <w:szCs w:val="28"/>
        </w:rPr>
        <w:t>数据安全事件上报（模板）</w:t>
      </w:r>
    </w:p>
    <w:p w:rsidR="00224557" w:rsidRPr="00675A9A" w:rsidRDefault="00D81E73" w:rsidP="00675A9A">
      <w:pPr>
        <w:keepNext/>
        <w:overflowPunct w:val="0"/>
        <w:autoSpaceDE w:val="0"/>
        <w:autoSpaceDN w:val="0"/>
        <w:spacing w:after="0" w:line="480" w:lineRule="auto"/>
        <w:ind w:firstLineChars="500" w:firstLine="1400"/>
        <w:textAlignment w:val="baseline"/>
        <w:rPr>
          <w:rFonts w:asciiTheme="minorEastAsia" w:eastAsiaTheme="minorEastAsia" w:hAnsiTheme="minorEastAsia" w:cs="仿宋_GB2312"/>
          <w:sz w:val="28"/>
          <w:szCs w:val="28"/>
        </w:rPr>
      </w:pPr>
      <w:r w:rsidRPr="00675A9A">
        <w:rPr>
          <w:rFonts w:asciiTheme="minorEastAsia" w:eastAsiaTheme="minorEastAsia" w:hAnsiTheme="minorEastAsia" w:cs="仿宋_GB2312" w:hint="eastAsia"/>
          <w:sz w:val="28"/>
          <w:szCs w:val="28"/>
        </w:rPr>
        <w:lastRenderedPageBreak/>
        <w:t>3.</w:t>
      </w:r>
      <w:r w:rsidRPr="00675A9A">
        <w:rPr>
          <w:rFonts w:asciiTheme="minorEastAsia" w:eastAsiaTheme="minorEastAsia" w:hAnsiTheme="minorEastAsia" w:cs="仿宋_GB2312" w:hint="eastAsia"/>
          <w:sz w:val="28"/>
          <w:szCs w:val="28"/>
        </w:rPr>
        <w:t>数据安全事件应急处置工作总结报告（模板）</w:t>
      </w:r>
    </w:p>
    <w:p w:rsidR="00224557" w:rsidRDefault="00224557" w:rsidP="00224557">
      <w:pPr>
        <w:keepNext/>
        <w:overflowPunct w:val="0"/>
        <w:autoSpaceDE w:val="0"/>
        <w:autoSpaceDN w:val="0"/>
        <w:adjustRightInd w:val="0"/>
        <w:snapToGrid w:val="0"/>
        <w:spacing w:line="360" w:lineRule="auto"/>
        <w:textAlignment w:val="baseline"/>
        <w:rPr>
          <w:rFonts w:ascii="仿宋_GB2312" w:eastAsia="仿宋_GB2312" w:hAnsi="仿宋_GB2312" w:cs="仿宋_GB2312"/>
          <w:sz w:val="32"/>
          <w:szCs w:val="32"/>
        </w:rPr>
      </w:pPr>
    </w:p>
    <w:p w:rsidR="00224557" w:rsidRDefault="00D81E73" w:rsidP="00224557">
      <w:pPr>
        <w:keepNext/>
        <w:wordWrap w:val="0"/>
        <w:overflowPunct w:val="0"/>
        <w:autoSpaceDE w:val="0"/>
        <w:autoSpaceDN w:val="0"/>
        <w:adjustRightInd w:val="0"/>
        <w:snapToGrid w:val="0"/>
        <w:spacing w:line="360" w:lineRule="auto"/>
        <w:ind w:firstLineChars="200" w:firstLine="640"/>
        <w:jc w:val="righ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24557" w:rsidRDefault="00D81E73" w:rsidP="00224557">
      <w:pPr>
        <w:keepNext/>
        <w:overflowPunct w:val="0"/>
        <w:autoSpaceDE w:val="0"/>
        <w:autoSpaceDN w:val="0"/>
        <w:adjustRightInd w:val="0"/>
        <w:snapToGrid w:val="0"/>
        <w:spacing w:line="360" w:lineRule="auto"/>
        <w:jc w:val="left"/>
        <w:textAlignment w:val="baseline"/>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224557" w:rsidRDefault="00224557" w:rsidP="00224557">
      <w:pPr>
        <w:keepNext/>
        <w:overflowPunct w:val="0"/>
        <w:autoSpaceDE w:val="0"/>
        <w:autoSpaceDN w:val="0"/>
        <w:adjustRightInd w:val="0"/>
        <w:snapToGrid w:val="0"/>
        <w:spacing w:line="360" w:lineRule="auto"/>
        <w:jc w:val="left"/>
        <w:textAlignment w:val="baseline"/>
        <w:rPr>
          <w:rFonts w:ascii="黑体" w:eastAsia="黑体" w:hAnsi="黑体" w:cs="黑体"/>
          <w:sz w:val="32"/>
          <w:szCs w:val="32"/>
        </w:rPr>
      </w:pPr>
    </w:p>
    <w:p w:rsidR="00224557" w:rsidRDefault="00D81E73" w:rsidP="00224557">
      <w:pPr>
        <w:keepNext/>
        <w:overflowPunct w:val="0"/>
        <w:autoSpaceDE w:val="0"/>
        <w:autoSpaceDN w:val="0"/>
        <w:adjustRightInd w:val="0"/>
        <w:snapToGrid w:val="0"/>
        <w:spacing w:line="360" w:lineRule="auto"/>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工业和信息化领域数据安全事件分级</w:t>
      </w:r>
    </w:p>
    <w:p w:rsidR="00224557" w:rsidRDefault="00224557" w:rsidP="00224557">
      <w:pPr>
        <w:keepNext/>
        <w:overflowPunct w:val="0"/>
        <w:autoSpaceDE w:val="0"/>
        <w:autoSpaceDN w:val="0"/>
        <w:adjustRightInd w:val="0"/>
        <w:snapToGrid w:val="0"/>
        <w:spacing w:line="360" w:lineRule="auto"/>
        <w:ind w:firstLineChars="200" w:firstLine="640"/>
        <w:jc w:val="center"/>
        <w:textAlignment w:val="baseline"/>
        <w:rPr>
          <w:rFonts w:ascii="仿宋_GB2312" w:eastAsia="仿宋_GB2312" w:hAnsi="仿宋_GB2312" w:cs="仿宋_GB2312"/>
          <w:sz w:val="32"/>
          <w:szCs w:val="32"/>
        </w:rPr>
      </w:pP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一、符合下列情形之一的，为特别重大数据安全事件</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（一）重要数据、核心数据遭到篡改、破坏、泄露或者非法获取、非法利用，对国家安全、社会秩序、经济建设和公众利益构成特别严重威胁的；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工业领域数据遭到篡改、破坏、泄露或者非法获取、非法利用，对工业生产运营等造成特别重大损害，导致大范围停工停产、大量业务处理能力丧失等；或者电信领域数据遭到篡改、破坏、泄露或者非法获取、非法利用，导致重要网络设施和信息系统、核心网络设施和信息系统运行中断或严重异常，持续时间</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小时以上的；或者无线电领域数据遭到篡改、破坏、泄露或者非法获取、非法利用，导致发生重大无线电干扰或非法占用重要业务无线电频率违规发射无线电信号，持续时间</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小时以上的；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（三）数据遭到篡改、破坏、泄露或者非法获取、非法利用，造成特</w:t>
      </w:r>
      <w:r>
        <w:rPr>
          <w:rFonts w:ascii="仿宋_GB2312" w:eastAsia="仿宋_GB2312" w:hAnsi="仿宋_GB2312" w:cs="仿宋_GB2312" w:hint="eastAsia"/>
          <w:sz w:val="32"/>
          <w:szCs w:val="32"/>
        </w:rPr>
        <w:t>别重大直接经济损失，损失</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亿元（含）以上的；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（四）发生特别严重个人信息安全事件，涉及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亿人（含）以上个人信息或者</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万人（含）以上敏感个人信息的；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（五）其他造成或可能造成特别重大危害或影响的。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二、符合下列情形之一的，为重大数据安全事件</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（一）重要数据遭到篡改、破坏、泄露或者非法获取、非法利用，对国家安全、社会秩序、经济建设和公众利益构成严重威胁的；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工业领域数据遭到篡改、破坏、泄露或者非法获取、非法利用，对工业生产运营等造成重大损害，导致较大范围停工停产、较大量业务处理能力丧失等；或者电信领域数据遭到篡改、破坏、泄露或者非法获取、非法利用，导致重要网络设施和信息系统运行中断或严重异常，持续时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小时以上的；或者无线电领域数据遭到篡改、破坏、泄露或者非法获取、非法利用，导致发生重大无线电干扰或非法占用重要业务无线电频率违规发射无线电信号，持续时间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小时以上的；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（三）数据遭到篡改、破坏、泄露或者非法获取、非法利用，造成重大直接经济损失，损失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w:t>
      </w:r>
      <w:r>
        <w:rPr>
          <w:rFonts w:ascii="仿宋_GB2312" w:eastAsia="仿宋_GB2312" w:hAnsi="仿宋_GB2312" w:cs="仿宋_GB2312" w:hint="eastAsia"/>
          <w:sz w:val="32"/>
          <w:szCs w:val="32"/>
        </w:rPr>
        <w:t>元（含）以上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亿元以下的；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（四）发生严重个人信息安全事件，涉及</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万人（含）以上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亿人以下个人信息或者</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万人（含）以上</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万人以下敏感</w:t>
      </w:r>
      <w:r>
        <w:rPr>
          <w:rFonts w:ascii="仿宋_GB2312" w:eastAsia="仿宋_GB2312" w:hAnsi="仿宋_GB2312" w:cs="仿宋_GB2312" w:hint="eastAsia"/>
          <w:sz w:val="32"/>
          <w:szCs w:val="32"/>
        </w:rPr>
        <w:lastRenderedPageBreak/>
        <w:t>个人信息的；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（五）其他造成或可能造成重大危害或影响的。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三、符合下列情形之一的，为较大数据安全事件</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（一）重要数据或一般数据遭到篡改、破坏、泄露或者非法获取、非法利用，对国家安全、社会秩序、经济建设和公众利益构成较严重威胁的；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工业领域数据遭到篡改、破坏、泄露或者非法获取、非法利用，对工业生产运营等造成较大损害，导致部分业务处理能力丧失等；或者电信领域数据遭到篡改、破坏、泄露或者非法获取、非法利用，导致相关网络设施和信息系统运行中断或严重异常，持续时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小时以上的；或者无线电领域数据遭到篡改、破坏、泄露或者非法获取、非法利用，导致发生重大无线电干扰或非法占用重要业务无线电频率违规发射无线电信号，持续时间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小时以上的；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（三）数据遭到篡改、破坏、泄露或者非法获取、非法利用，造成较大直接经济损失，损失</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万元（含）以上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以下的；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（四）发生较严重个人信息安全事件，涉及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万人（含）以上</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万人以下个人信息或者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万人（含）以上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万人以下敏感个人信息的；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（五）其他造成或可能造成较大危害或影响的。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黑体" w:eastAsia="黑体" w:hAnsi="黑体" w:cs="黑体"/>
          <w:sz w:val="32"/>
          <w:szCs w:val="32"/>
        </w:rPr>
      </w:pPr>
      <w:r>
        <w:rPr>
          <w:rFonts w:ascii="黑体" w:eastAsia="黑体" w:hAnsi="黑体" w:cs="黑体" w:hint="eastAsia"/>
          <w:sz w:val="32"/>
          <w:szCs w:val="32"/>
        </w:rPr>
        <w:t>四、符合下列情形之一的，为一般数据安全事件</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（一）数据遭到篡改、破坏、泄露或者非法获取、非法利用，对</w:t>
      </w:r>
      <w:r>
        <w:rPr>
          <w:rFonts w:ascii="仿宋_GB2312" w:eastAsia="仿宋_GB2312" w:hAnsi="仿宋_GB2312" w:cs="仿宋_GB2312" w:hint="eastAsia"/>
          <w:sz w:val="32"/>
          <w:szCs w:val="32"/>
        </w:rPr>
        <w:t>社会秩序、经济建设和公众利益构成较轻威胁的；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（二）数据遭到篡改、破坏、泄露或者非法获取、非法利用，对工业生产运营等造成损害较轻；或者导致相关网络设施、信息系统和无线电系统运行中断或严重异常，持续时间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小时以下的</w:t>
      </w:r>
      <w:r>
        <w:rPr>
          <w:rFonts w:ascii="仿宋_GB2312" w:eastAsia="仿宋_GB2312" w:hAnsi="仿宋_GB2312" w:cs="仿宋_GB2312" w:hint="eastAsia"/>
          <w:sz w:val="32"/>
          <w:szCs w:val="32"/>
        </w:rPr>
        <w:t>；</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（三）数据遭到篡改、破坏、泄露或者非法获取、非法利用，造成直接经济损失</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万元以下的；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（四）发生个人信息安全事件，涉及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万人以下个人信息或者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万人以下敏感个人信息的；</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（五）其他造成或可能造成</w:t>
      </w:r>
      <w:proofErr w:type="gramStart"/>
      <w:r>
        <w:rPr>
          <w:rFonts w:ascii="仿宋_GB2312" w:eastAsia="仿宋_GB2312" w:hAnsi="仿宋_GB2312" w:cs="仿宋_GB2312" w:hint="eastAsia"/>
          <w:sz w:val="32"/>
          <w:szCs w:val="32"/>
        </w:rPr>
        <w:t>一般危害</w:t>
      </w:r>
      <w:proofErr w:type="gramEnd"/>
      <w:r>
        <w:rPr>
          <w:rFonts w:ascii="仿宋_GB2312" w:eastAsia="仿宋_GB2312" w:hAnsi="仿宋_GB2312" w:cs="仿宋_GB2312" w:hint="eastAsia"/>
          <w:sz w:val="32"/>
          <w:szCs w:val="32"/>
        </w:rPr>
        <w:t>或影响的。</w:t>
      </w:r>
    </w:p>
    <w:p w:rsidR="00224557" w:rsidRDefault="00D81E73" w:rsidP="00224557">
      <w:pPr>
        <w:keepNext/>
        <w:overflowPunct w:val="0"/>
        <w:autoSpaceDE w:val="0"/>
        <w:autoSpaceDN w:val="0"/>
        <w:adjustRightInd w:val="0"/>
        <w:snapToGrid w:val="0"/>
        <w:spacing w:line="360" w:lineRule="auto"/>
        <w:textAlignment w:val="baseline"/>
        <w:rPr>
          <w:rFonts w:ascii="黑体" w:eastAsia="黑体" w:hAnsi="黑体" w:cs="黑体"/>
          <w:sz w:val="32"/>
          <w:szCs w:val="32"/>
        </w:rPr>
      </w:pPr>
      <w:r>
        <w:rPr>
          <w:rFonts w:ascii="仿宋_GB2312" w:eastAsia="仿宋_GB2312" w:hAnsi="仿宋_GB2312" w:cs="仿宋_GB2312"/>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224557" w:rsidRDefault="00D81E73" w:rsidP="005D5F2B">
      <w:pPr>
        <w:overflowPunct w:val="0"/>
        <w:autoSpaceDE w:val="0"/>
        <w:autoSpaceDN w:val="0"/>
        <w:adjustRightInd w:val="0"/>
        <w:snapToGrid w:val="0"/>
        <w:spacing w:after="156" w:line="360" w:lineRule="auto"/>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数据安全事件上报（模板）</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58"/>
        <w:gridCol w:w="1988"/>
        <w:gridCol w:w="4814"/>
      </w:tblGrid>
      <w:tr w:rsidR="00224557">
        <w:trPr>
          <w:trHeight w:val="340"/>
        </w:trPr>
        <w:tc>
          <w:tcPr>
            <w:tcW w:w="2273" w:type="dxa"/>
            <w:vMerge w:val="restart"/>
            <w:tcBorders>
              <w:tl2br w:val="nil"/>
              <w:tr2bl w:val="nil"/>
            </w:tcBorders>
            <w:vAlign w:val="center"/>
          </w:tcPr>
          <w:p w:rsidR="00224557" w:rsidRDefault="00D81E73" w:rsidP="00224557">
            <w:pPr>
              <w:tabs>
                <w:tab w:val="left" w:pos="882"/>
              </w:tabs>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上报单位情况</w:t>
            </w: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单位全称</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xx</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xx</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（手机号）</w:t>
            </w:r>
          </w:p>
        </w:tc>
      </w:tr>
      <w:tr w:rsidR="00224557">
        <w:trPr>
          <w:trHeight w:val="340"/>
        </w:trPr>
        <w:tc>
          <w:tcPr>
            <w:tcW w:w="2273" w:type="dxa"/>
            <w:vMerge w:val="restart"/>
            <w:tcBorders>
              <w:tl2br w:val="nil"/>
              <w:tr2bl w:val="nil"/>
            </w:tcBorders>
            <w:vAlign w:val="center"/>
          </w:tcPr>
          <w:p w:rsidR="00224557" w:rsidRDefault="00D81E73"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事件基本情况</w:t>
            </w: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发生时间</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时</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分</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获悉渠道</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自主监测发现</w:t>
            </w:r>
          </w:p>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网上公开发布（</w:t>
            </w:r>
            <w:r>
              <w:rPr>
                <w:rFonts w:ascii="仿宋_GB2312" w:eastAsia="仿宋_GB2312" w:hAnsi="仿宋_GB2312" w:cs="仿宋_GB2312" w:hint="eastAsia"/>
                <w:sz w:val="28"/>
                <w:szCs w:val="28"/>
              </w:rPr>
              <w:t>URL</w:t>
            </w:r>
            <w:r>
              <w:rPr>
                <w:rFonts w:ascii="仿宋_GB2312" w:eastAsia="仿宋_GB2312" w:hAnsi="仿宋_GB2312" w:cs="仿宋_GB2312" w:hint="eastAsia"/>
                <w:sz w:val="28"/>
                <w:szCs w:val="28"/>
              </w:rPr>
              <w:t>）</w:t>
            </w:r>
          </w:p>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第三方报送（报送单位）</w:t>
            </w:r>
          </w:p>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其他</w:t>
            </w:r>
            <w:r>
              <w:rPr>
                <w:rFonts w:ascii="仿宋_GB2312" w:eastAsia="仿宋_GB2312" w:hAnsi="仿宋_GB2312" w:cs="仿宋_GB2312" w:hint="eastAsia"/>
                <w:sz w:val="28"/>
                <w:szCs w:val="28"/>
              </w:rPr>
              <w:t>xx</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涉事单位</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（单位全称）</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事件级别</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color w:val="000000" w:themeColor="text1"/>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一般</w:t>
            </w:r>
            <w:r>
              <w:rPr>
                <w:rFonts w:ascii="仿宋_GB2312" w:eastAsia="仿宋_GB2312" w:hAnsi="仿宋_GB2312" w:cs="仿宋_GB2312" w:hint="eastAsia"/>
                <w:sz w:val="28"/>
                <w:szCs w:val="28"/>
              </w:rPr>
              <w:t xml:space="preserve"> </w:t>
            </w:r>
            <w:r>
              <w:rPr>
                <w:rFonts w:ascii="Wingdings 2" w:eastAsia="仿宋_GB2312" w:hAnsi="Wingdings 2" w:cs="仿宋_GB2312"/>
                <w:sz w:val="28"/>
                <w:szCs w:val="28"/>
              </w:rPr>
              <w:t></w:t>
            </w:r>
            <w:r>
              <w:rPr>
                <w:rFonts w:ascii="仿宋_GB2312" w:eastAsia="仿宋_GB2312" w:hAnsi="仿宋_GB2312" w:cs="仿宋_GB2312" w:hint="eastAsia"/>
                <w:sz w:val="28"/>
                <w:szCs w:val="28"/>
              </w:rPr>
              <w:t>较大</w:t>
            </w:r>
            <w:r>
              <w:rPr>
                <w:rFonts w:ascii="仿宋_GB2312" w:eastAsia="仿宋_GB2312" w:hAnsi="仿宋_GB2312" w:cs="仿宋_GB2312" w:hint="eastAsia"/>
                <w:sz w:val="28"/>
                <w:szCs w:val="28"/>
              </w:rPr>
              <w:t xml:space="preserve"> </w:t>
            </w:r>
            <w:r>
              <w:rPr>
                <w:rFonts w:ascii="Wingdings 2" w:eastAsia="仿宋_GB2312" w:hAnsi="Wingdings 2" w:cs="仿宋_GB2312"/>
                <w:sz w:val="28"/>
                <w:szCs w:val="28"/>
              </w:rPr>
              <w:t></w:t>
            </w:r>
            <w:r>
              <w:rPr>
                <w:rFonts w:ascii="仿宋_GB2312" w:eastAsia="仿宋_GB2312" w:hAnsi="仿宋_GB2312" w:cs="仿宋_GB2312" w:hint="eastAsia"/>
                <w:sz w:val="28"/>
                <w:szCs w:val="28"/>
              </w:rPr>
              <w:t>重大</w:t>
            </w:r>
            <w:r>
              <w:rPr>
                <w:rFonts w:ascii="仿宋_GB2312" w:eastAsia="仿宋_GB2312" w:hAnsi="仿宋_GB2312" w:cs="仿宋_GB2312" w:hint="eastAsia"/>
                <w:sz w:val="28"/>
                <w:szCs w:val="28"/>
              </w:rPr>
              <w:t xml:space="preserve"> </w:t>
            </w:r>
            <w:r>
              <w:rPr>
                <w:rFonts w:ascii="Wingdings 2" w:eastAsia="仿宋_GB2312" w:hAnsi="Wingdings 2" w:cs="仿宋_GB2312"/>
                <w:sz w:val="28"/>
                <w:szCs w:val="28"/>
              </w:rPr>
              <w:t></w:t>
            </w:r>
            <w:r>
              <w:rPr>
                <w:rFonts w:ascii="仿宋_GB2312" w:eastAsia="仿宋_GB2312" w:hAnsi="仿宋_GB2312" w:cs="仿宋_GB2312" w:hint="eastAsia"/>
                <w:sz w:val="28"/>
                <w:szCs w:val="28"/>
              </w:rPr>
              <w:t>特别重大</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vMerge w:val="restart"/>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涉及系统</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（系统</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平台全称）</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IP/</w:t>
            </w:r>
            <w:r>
              <w:rPr>
                <w:rFonts w:ascii="仿宋_GB2312" w:eastAsia="仿宋_GB2312" w:hAnsi="仿宋_GB2312" w:cs="仿宋_GB2312" w:hint="eastAsia"/>
                <w:sz w:val="28"/>
                <w:szCs w:val="28"/>
              </w:rPr>
              <w:t>域名</w:t>
            </w:r>
            <w:r>
              <w:rPr>
                <w:rFonts w:ascii="仿宋_GB2312" w:eastAsia="仿宋_GB2312" w:hAnsi="仿宋_GB2312" w:cs="仿宋_GB2312" w:hint="eastAsia"/>
                <w:sz w:val="28"/>
                <w:szCs w:val="28"/>
              </w:rPr>
              <w:t>/URL</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事件原因</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（简要描述事件发生原因）</w:t>
            </w:r>
          </w:p>
        </w:tc>
      </w:tr>
      <w:tr w:rsidR="00224557">
        <w:trPr>
          <w:trHeight w:val="340"/>
        </w:trPr>
        <w:tc>
          <w:tcPr>
            <w:tcW w:w="2273" w:type="dxa"/>
            <w:vMerge w:val="restart"/>
            <w:tcBorders>
              <w:tl2br w:val="nil"/>
              <w:tr2bl w:val="nil"/>
            </w:tcBorders>
            <w:vAlign w:val="center"/>
          </w:tcPr>
          <w:p w:rsidR="00224557" w:rsidRDefault="00D81E73"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事件涉及数据</w:t>
            </w:r>
            <w:r>
              <w:rPr>
                <w:rFonts w:ascii="仿宋_GB2312" w:eastAsia="仿宋_GB2312" w:hAnsi="仿宋_GB2312" w:cs="仿宋_GB2312" w:hint="eastAsia"/>
                <w:b/>
                <w:bCs/>
                <w:sz w:val="32"/>
                <w:szCs w:val="32"/>
              </w:rPr>
              <w:lastRenderedPageBreak/>
              <w:t>情况</w:t>
            </w: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类型</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研发</w:t>
            </w:r>
            <w:r>
              <w:rPr>
                <w:rFonts w:ascii="仿宋_GB2312" w:eastAsia="仿宋_GB2312" w:hAnsi="仿宋_GB2312" w:cs="仿宋_GB2312" w:hint="eastAsia"/>
                <w:sz w:val="28"/>
                <w:szCs w:val="28"/>
              </w:rPr>
              <w:t xml:space="preserve"> </w:t>
            </w:r>
            <w:r>
              <w:rPr>
                <w:rFonts w:ascii="Wingdings 2" w:eastAsia="仿宋_GB2312" w:hAnsi="Wingdings 2" w:cs="仿宋_GB2312"/>
                <w:sz w:val="28"/>
                <w:szCs w:val="28"/>
              </w:rPr>
              <w:t></w:t>
            </w:r>
            <w:r>
              <w:rPr>
                <w:rFonts w:ascii="仿宋_GB2312" w:eastAsia="仿宋_GB2312" w:hAnsi="仿宋_GB2312" w:cs="仿宋_GB2312" w:hint="eastAsia"/>
                <w:sz w:val="28"/>
                <w:szCs w:val="28"/>
              </w:rPr>
              <w:t>生产</w:t>
            </w:r>
            <w:r>
              <w:rPr>
                <w:rFonts w:ascii="仿宋_GB2312" w:eastAsia="仿宋_GB2312" w:hAnsi="仿宋_GB2312" w:cs="仿宋_GB2312" w:hint="eastAsia"/>
                <w:sz w:val="28"/>
                <w:szCs w:val="28"/>
              </w:rPr>
              <w:t xml:space="preserve"> </w:t>
            </w:r>
            <w:r>
              <w:rPr>
                <w:rFonts w:ascii="Wingdings 2" w:eastAsia="仿宋_GB2312" w:hAnsi="Wingdings 2" w:cs="仿宋_GB2312"/>
                <w:sz w:val="28"/>
                <w:szCs w:val="28"/>
              </w:rPr>
              <w:t></w:t>
            </w:r>
            <w:r>
              <w:rPr>
                <w:rFonts w:ascii="仿宋_GB2312" w:eastAsia="仿宋_GB2312" w:hAnsi="仿宋_GB2312" w:cs="仿宋_GB2312" w:hint="eastAsia"/>
                <w:sz w:val="28"/>
                <w:szCs w:val="28"/>
              </w:rPr>
              <w:t>管理</w:t>
            </w:r>
            <w:r>
              <w:rPr>
                <w:rFonts w:ascii="仿宋_GB2312" w:eastAsia="仿宋_GB2312" w:hAnsi="仿宋_GB2312" w:cs="仿宋_GB2312" w:hint="eastAsia"/>
                <w:sz w:val="28"/>
                <w:szCs w:val="28"/>
              </w:rPr>
              <w:t xml:space="preserve"> </w:t>
            </w:r>
            <w:r>
              <w:rPr>
                <w:rFonts w:ascii="Wingdings 2" w:eastAsia="仿宋_GB2312" w:hAnsi="Wingdings 2" w:cs="仿宋_GB2312"/>
                <w:sz w:val="28"/>
                <w:szCs w:val="28"/>
              </w:rPr>
              <w:t></w:t>
            </w:r>
            <w:r>
              <w:rPr>
                <w:rFonts w:ascii="仿宋_GB2312" w:eastAsia="仿宋_GB2312" w:hAnsi="仿宋_GB2312" w:cs="仿宋_GB2312" w:hint="eastAsia"/>
                <w:sz w:val="28"/>
                <w:szCs w:val="28"/>
              </w:rPr>
              <w:t>运维</w:t>
            </w:r>
            <w:r>
              <w:rPr>
                <w:rFonts w:ascii="仿宋_GB2312" w:eastAsia="仿宋_GB2312" w:hAnsi="仿宋_GB2312" w:cs="仿宋_GB2312" w:hint="eastAsia"/>
                <w:sz w:val="28"/>
                <w:szCs w:val="28"/>
              </w:rPr>
              <w:t xml:space="preserve"> </w:t>
            </w:r>
            <w:r>
              <w:rPr>
                <w:rFonts w:ascii="Wingdings 2" w:eastAsia="仿宋_GB2312" w:hAnsi="Wingdings 2" w:cs="仿宋_GB2312"/>
                <w:sz w:val="28"/>
                <w:szCs w:val="28"/>
              </w:rPr>
              <w:t></w:t>
            </w:r>
            <w:r>
              <w:rPr>
                <w:rFonts w:ascii="仿宋_GB2312" w:eastAsia="仿宋_GB2312" w:hAnsi="仿宋_GB2312" w:cs="仿宋_GB2312" w:hint="eastAsia"/>
                <w:sz w:val="28"/>
                <w:szCs w:val="28"/>
              </w:rPr>
              <w:t>服务</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级别</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一般</w:t>
            </w:r>
            <w:r>
              <w:rPr>
                <w:rFonts w:ascii="仿宋_GB2312" w:eastAsia="仿宋_GB2312" w:hAnsi="仿宋_GB2312" w:cs="仿宋_GB2312" w:hint="eastAsia"/>
                <w:sz w:val="28"/>
                <w:szCs w:val="28"/>
              </w:rPr>
              <w:t xml:space="preserve"> </w:t>
            </w:r>
            <w:r>
              <w:rPr>
                <w:rFonts w:ascii="Wingdings 2" w:eastAsia="仿宋_GB2312" w:hAnsi="Wingdings 2" w:cs="仿宋_GB2312"/>
                <w:sz w:val="28"/>
                <w:szCs w:val="28"/>
              </w:rPr>
              <w:t></w:t>
            </w:r>
            <w:r>
              <w:rPr>
                <w:rFonts w:ascii="仿宋_GB2312" w:eastAsia="仿宋_GB2312" w:hAnsi="仿宋_GB2312" w:cs="仿宋_GB2312" w:hint="eastAsia"/>
                <w:sz w:val="28"/>
                <w:szCs w:val="28"/>
              </w:rPr>
              <w:t>重要</w:t>
            </w:r>
            <w:r>
              <w:rPr>
                <w:rFonts w:ascii="仿宋_GB2312" w:eastAsia="仿宋_GB2312" w:hAnsi="仿宋_GB2312" w:cs="仿宋_GB2312" w:hint="eastAsia"/>
                <w:sz w:val="28"/>
                <w:szCs w:val="28"/>
              </w:rPr>
              <w:t xml:space="preserve"> </w:t>
            </w:r>
            <w:r>
              <w:rPr>
                <w:rFonts w:ascii="Wingdings 2" w:eastAsia="仿宋_GB2312" w:hAnsi="Wingdings 2" w:cs="仿宋_GB2312"/>
                <w:sz w:val="28"/>
                <w:szCs w:val="28"/>
              </w:rPr>
              <w:t></w:t>
            </w:r>
            <w:r>
              <w:rPr>
                <w:rFonts w:ascii="仿宋_GB2312" w:eastAsia="仿宋_GB2312" w:hAnsi="仿宋_GB2312" w:cs="仿宋_GB2312" w:hint="eastAsia"/>
                <w:sz w:val="28"/>
                <w:szCs w:val="28"/>
              </w:rPr>
              <w:t>核心</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规模</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proofErr w:type="spellStart"/>
            <w:r>
              <w:rPr>
                <w:rFonts w:ascii="仿宋_GB2312" w:eastAsia="仿宋_GB2312" w:hAnsi="仿宋_GB2312" w:cs="仿宋_GB2312" w:hint="eastAsia"/>
                <w:sz w:val="28"/>
                <w:szCs w:val="28"/>
              </w:rPr>
              <w:t>xxGB</w:t>
            </w:r>
            <w:proofErr w:type="spellEnd"/>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条</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个人信息情况</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个人信息</w:t>
            </w:r>
            <w:proofErr w:type="spellStart"/>
            <w:r>
              <w:rPr>
                <w:rFonts w:ascii="仿宋_GB2312" w:eastAsia="仿宋_GB2312" w:hAnsi="仿宋_GB2312" w:cs="仿宋_GB2312" w:hint="eastAsia"/>
                <w:sz w:val="28"/>
                <w:szCs w:val="28"/>
              </w:rPr>
              <w:t>xxGB</w:t>
            </w:r>
            <w:proofErr w:type="spellEnd"/>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条</w:t>
            </w:r>
          </w:p>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敏感个人信息</w:t>
            </w:r>
            <w:proofErr w:type="spellStart"/>
            <w:r>
              <w:rPr>
                <w:rFonts w:ascii="仿宋_GB2312" w:eastAsia="仿宋_GB2312" w:hAnsi="仿宋_GB2312" w:cs="仿宋_GB2312" w:hint="eastAsia"/>
                <w:sz w:val="28"/>
                <w:szCs w:val="28"/>
              </w:rPr>
              <w:t>xxGB</w:t>
            </w:r>
            <w:proofErr w:type="spellEnd"/>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条</w:t>
            </w:r>
          </w:p>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Wingdings 2" w:eastAsia="仿宋_GB2312" w:hAnsi="Wingdings 2" w:cs="仿宋_GB2312"/>
                <w:sz w:val="28"/>
                <w:szCs w:val="28"/>
              </w:rPr>
              <w:t></w:t>
            </w:r>
            <w:r>
              <w:rPr>
                <w:rFonts w:ascii="仿宋_GB2312" w:eastAsia="仿宋_GB2312" w:hAnsi="仿宋_GB2312" w:cs="仿宋_GB2312" w:hint="eastAsia"/>
                <w:sz w:val="28"/>
                <w:szCs w:val="28"/>
              </w:rPr>
              <w:t>无</w:t>
            </w:r>
          </w:p>
        </w:tc>
      </w:tr>
      <w:tr w:rsidR="00224557">
        <w:trPr>
          <w:trHeight w:val="340"/>
        </w:trPr>
        <w:tc>
          <w:tcPr>
            <w:tcW w:w="2273" w:type="dxa"/>
            <w:vMerge w:val="restart"/>
            <w:tcBorders>
              <w:tl2br w:val="nil"/>
              <w:tr2bl w:val="nil"/>
            </w:tcBorders>
            <w:vAlign w:val="center"/>
          </w:tcPr>
          <w:p w:rsidR="00224557" w:rsidRDefault="00D81E73"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事件影响情况</w:t>
            </w: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影响主体</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（单位全称）</w:t>
            </w:r>
          </w:p>
        </w:tc>
      </w:tr>
      <w:tr w:rsidR="00224557">
        <w:trPr>
          <w:trHeight w:val="340"/>
        </w:trPr>
        <w:tc>
          <w:tcPr>
            <w:tcW w:w="2273" w:type="dxa"/>
            <w:vMerge/>
            <w:tcBorders>
              <w:tl2br w:val="nil"/>
              <w:tr2bl w:val="nil"/>
            </w:tcBorders>
            <w:vAlign w:val="center"/>
          </w:tcPr>
          <w:p w:rsidR="00224557" w:rsidRDefault="00224557"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p>
        </w:tc>
        <w:tc>
          <w:tcPr>
            <w:tcW w:w="2000"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影响范围</w:t>
            </w:r>
          </w:p>
        </w:tc>
        <w:tc>
          <w:tcPr>
            <w:tcW w:w="4844" w:type="dxa"/>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地区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行业</w:t>
            </w:r>
          </w:p>
        </w:tc>
      </w:tr>
      <w:tr w:rsidR="00224557">
        <w:trPr>
          <w:trHeight w:val="340"/>
        </w:trPr>
        <w:tc>
          <w:tcPr>
            <w:tcW w:w="2273" w:type="dxa"/>
            <w:tcBorders>
              <w:tl2br w:val="nil"/>
              <w:tr2bl w:val="nil"/>
            </w:tcBorders>
            <w:vAlign w:val="center"/>
          </w:tcPr>
          <w:p w:rsidR="00224557" w:rsidRDefault="00D81E73" w:rsidP="00224557">
            <w:pPr>
              <w:overflowPunct w:val="0"/>
              <w:autoSpaceDE w:val="0"/>
              <w:autoSpaceDN w:val="0"/>
              <w:adjustRightInd w:val="0"/>
              <w:snapToGrid w:val="0"/>
              <w:spacing w:line="360" w:lineRule="auto"/>
              <w:jc w:val="center"/>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事件处置建议</w:t>
            </w:r>
          </w:p>
        </w:tc>
        <w:tc>
          <w:tcPr>
            <w:tcW w:w="6844" w:type="dxa"/>
            <w:gridSpan w:val="2"/>
            <w:tcBorders>
              <w:tl2br w:val="nil"/>
              <w:tr2bl w:val="nil"/>
            </w:tcBorders>
            <w:vAlign w:val="center"/>
          </w:tcPr>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1.xx</w:t>
            </w:r>
          </w:p>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2.xx</w:t>
            </w:r>
          </w:p>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224557" w:rsidRDefault="00D81E73" w:rsidP="00224557">
            <w:pPr>
              <w:overflowPunct w:val="0"/>
              <w:autoSpaceDE w:val="0"/>
              <w:autoSpaceDN w:val="0"/>
              <w:adjustRightInd w:val="0"/>
              <w:snapToGrid w:val="0"/>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（简要描述事件已采取的措施、拟进一步采取的措施及请求支援事项等。）</w:t>
            </w:r>
          </w:p>
        </w:tc>
      </w:tr>
    </w:tbl>
    <w:p w:rsidR="00224557" w:rsidRDefault="00D81E73" w:rsidP="00224557">
      <w:pPr>
        <w:overflowPunct w:val="0"/>
        <w:autoSpaceDE w:val="0"/>
        <w:autoSpaceDN w:val="0"/>
        <w:adjustRightInd w:val="0"/>
        <w:snapToGrid w:val="0"/>
        <w:spacing w:line="360" w:lineRule="auto"/>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签字（或盖章）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224557" w:rsidRDefault="00D81E73" w:rsidP="00224557">
      <w:pPr>
        <w:overflowPunct w:val="0"/>
        <w:autoSpaceDE w:val="0"/>
        <w:autoSpaceDN w:val="0"/>
        <w:adjustRightInd w:val="0"/>
        <w:snapToGrid w:val="0"/>
        <w:spacing w:line="360" w:lineRule="auto"/>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涉及系统、影响主体和范围等信息不明确的，可填“尚不明确”。</w:t>
      </w:r>
    </w:p>
    <w:p w:rsidR="00224557" w:rsidRDefault="00D81E73" w:rsidP="00224557">
      <w:pPr>
        <w:overflowPunct w:val="0"/>
        <w:autoSpaceDE w:val="0"/>
        <w:autoSpaceDN w:val="0"/>
        <w:adjustRightInd w:val="0"/>
        <w:snapToGrid w:val="0"/>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重大及以上数据安全事件需上报人签字或上报单位盖章。</w:t>
      </w:r>
    </w:p>
    <w:p w:rsidR="00224557" w:rsidRDefault="00D81E73" w:rsidP="00224557">
      <w:pPr>
        <w:keepNext/>
        <w:overflowPunct w:val="0"/>
        <w:autoSpaceDE w:val="0"/>
        <w:autoSpaceDN w:val="0"/>
        <w:adjustRightInd w:val="0"/>
        <w:snapToGrid w:val="0"/>
        <w:spacing w:line="360" w:lineRule="auto"/>
        <w:textAlignment w:val="baseline"/>
        <w:rPr>
          <w:rFonts w:ascii="黑体" w:eastAsia="黑体" w:hAnsi="黑体" w:cs="黑体"/>
          <w:sz w:val="32"/>
          <w:szCs w:val="32"/>
        </w:rPr>
      </w:pPr>
      <w:r>
        <w:rPr>
          <w:rFonts w:ascii="仿宋_GB2312" w:eastAsia="仿宋_GB2312" w:hAnsi="仿宋_GB2312" w:cs="仿宋_GB2312"/>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224557" w:rsidRDefault="00224557" w:rsidP="00224557">
      <w:pPr>
        <w:keepNext/>
        <w:overflowPunct w:val="0"/>
        <w:autoSpaceDE w:val="0"/>
        <w:autoSpaceDN w:val="0"/>
        <w:adjustRightInd w:val="0"/>
        <w:snapToGrid w:val="0"/>
        <w:spacing w:line="360" w:lineRule="auto"/>
        <w:textAlignment w:val="baseline"/>
        <w:rPr>
          <w:rFonts w:ascii="黑体" w:eastAsia="黑体" w:hAnsi="黑体" w:cs="黑体"/>
          <w:sz w:val="32"/>
          <w:szCs w:val="32"/>
        </w:rPr>
      </w:pPr>
    </w:p>
    <w:p w:rsidR="00224557" w:rsidRDefault="00224557" w:rsidP="00224557">
      <w:pPr>
        <w:keepNext/>
        <w:overflowPunct w:val="0"/>
        <w:autoSpaceDE w:val="0"/>
        <w:autoSpaceDN w:val="0"/>
        <w:adjustRightInd w:val="0"/>
        <w:snapToGrid w:val="0"/>
        <w:spacing w:line="360" w:lineRule="auto"/>
        <w:textAlignment w:val="baseline"/>
        <w:rPr>
          <w:rFonts w:ascii="黑体" w:eastAsia="黑体" w:hAnsi="黑体" w:cs="黑体"/>
          <w:sz w:val="32"/>
          <w:szCs w:val="32"/>
        </w:rPr>
      </w:pPr>
    </w:p>
    <w:p w:rsidR="00224557" w:rsidRDefault="00224557" w:rsidP="00224557">
      <w:pPr>
        <w:keepNext/>
        <w:overflowPunct w:val="0"/>
        <w:autoSpaceDE w:val="0"/>
        <w:autoSpaceDN w:val="0"/>
        <w:adjustRightInd w:val="0"/>
        <w:snapToGrid w:val="0"/>
        <w:spacing w:line="360" w:lineRule="auto"/>
        <w:textAlignment w:val="baseline"/>
        <w:rPr>
          <w:rFonts w:ascii="黑体" w:eastAsia="黑体" w:hAnsi="黑体" w:cs="黑体"/>
          <w:sz w:val="32"/>
          <w:szCs w:val="32"/>
        </w:rPr>
      </w:pPr>
    </w:p>
    <w:p w:rsidR="00224557" w:rsidRDefault="00D81E73" w:rsidP="00224557">
      <w:pPr>
        <w:keepNext/>
        <w:overflowPunct w:val="0"/>
        <w:autoSpaceDE w:val="0"/>
        <w:autoSpaceDN w:val="0"/>
        <w:adjustRightInd w:val="0"/>
        <w:snapToGrid w:val="0"/>
        <w:spacing w:line="360" w:lineRule="auto"/>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数据安全事件应急处置工作</w:t>
      </w:r>
    </w:p>
    <w:p w:rsidR="00224557" w:rsidRDefault="00D81E73" w:rsidP="00224557">
      <w:pPr>
        <w:keepNext/>
        <w:overflowPunct w:val="0"/>
        <w:autoSpaceDE w:val="0"/>
        <w:autoSpaceDN w:val="0"/>
        <w:adjustRightInd w:val="0"/>
        <w:snapToGrid w:val="0"/>
        <w:spacing w:line="360" w:lineRule="auto"/>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总结报告（模板）</w:t>
      </w:r>
    </w:p>
    <w:p w:rsidR="00224557" w:rsidRDefault="00224557">
      <w:pPr>
        <w:keepNext/>
        <w:overflowPunct w:val="0"/>
        <w:autoSpaceDE w:val="0"/>
        <w:autoSpaceDN w:val="0"/>
        <w:adjustRightInd w:val="0"/>
        <w:snapToGrid w:val="0"/>
        <w:spacing w:line="360" w:lineRule="auto"/>
        <w:jc w:val="center"/>
        <w:textAlignment w:val="baseline"/>
        <w:rPr>
          <w:rFonts w:ascii="方正小标宋简体" w:eastAsia="方正小标宋简体" w:hAnsi="方正小标宋简体" w:cs="方正小标宋简体"/>
          <w:sz w:val="44"/>
          <w:szCs w:val="44"/>
        </w:rPr>
      </w:pPr>
    </w:p>
    <w:p w:rsidR="00224557" w:rsidRDefault="00224557">
      <w:pPr>
        <w:keepNext/>
        <w:overflowPunct w:val="0"/>
        <w:autoSpaceDE w:val="0"/>
        <w:autoSpaceDN w:val="0"/>
        <w:adjustRightInd w:val="0"/>
        <w:snapToGrid w:val="0"/>
        <w:spacing w:line="360" w:lineRule="auto"/>
        <w:jc w:val="center"/>
        <w:textAlignment w:val="baseline"/>
        <w:rPr>
          <w:rFonts w:ascii="方正小标宋简体" w:eastAsia="方正小标宋简体" w:hAnsi="方正小标宋简体" w:cs="方正小标宋简体"/>
          <w:sz w:val="44"/>
          <w:szCs w:val="44"/>
        </w:rPr>
      </w:pPr>
    </w:p>
    <w:p w:rsidR="00224557" w:rsidRDefault="00224557">
      <w:pPr>
        <w:keepNext/>
        <w:overflowPunct w:val="0"/>
        <w:autoSpaceDE w:val="0"/>
        <w:autoSpaceDN w:val="0"/>
        <w:adjustRightInd w:val="0"/>
        <w:snapToGrid w:val="0"/>
        <w:spacing w:line="360" w:lineRule="auto"/>
        <w:jc w:val="center"/>
        <w:textAlignment w:val="baseline"/>
        <w:rPr>
          <w:rFonts w:ascii="方正小标宋简体" w:eastAsia="方正小标宋简体" w:hAnsi="方正小标宋简体" w:cs="方正小标宋简体"/>
          <w:sz w:val="44"/>
          <w:szCs w:val="44"/>
        </w:rPr>
      </w:pPr>
    </w:p>
    <w:p w:rsidR="00224557" w:rsidRDefault="00224557">
      <w:pPr>
        <w:keepNext/>
        <w:overflowPunct w:val="0"/>
        <w:autoSpaceDE w:val="0"/>
        <w:autoSpaceDN w:val="0"/>
        <w:adjustRightInd w:val="0"/>
        <w:snapToGrid w:val="0"/>
        <w:spacing w:line="360" w:lineRule="auto"/>
        <w:jc w:val="center"/>
        <w:textAlignment w:val="baseline"/>
        <w:rPr>
          <w:rFonts w:ascii="方正小标宋简体" w:eastAsia="方正小标宋简体" w:hAnsi="方正小标宋简体" w:cs="方正小标宋简体"/>
          <w:sz w:val="44"/>
          <w:szCs w:val="44"/>
        </w:rPr>
      </w:pPr>
    </w:p>
    <w:p w:rsidR="00224557" w:rsidRDefault="00D81E73">
      <w:pPr>
        <w:keepNext/>
        <w:overflowPunct w:val="0"/>
        <w:autoSpaceDE w:val="0"/>
        <w:autoSpaceDN w:val="0"/>
        <w:adjustRightInd w:val="0"/>
        <w:snapToGrid w:val="0"/>
        <w:spacing w:line="360" w:lineRule="auto"/>
        <w:ind w:firstLineChars="300" w:firstLine="960"/>
        <w:textAlignment w:val="baseline"/>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（加盖公章）</w:t>
      </w:r>
    </w:p>
    <w:p w:rsidR="00224557" w:rsidRDefault="00D81E73">
      <w:pPr>
        <w:keepNext/>
        <w:overflowPunct w:val="0"/>
        <w:autoSpaceDE w:val="0"/>
        <w:autoSpaceDN w:val="0"/>
        <w:adjustRightInd w:val="0"/>
        <w:snapToGrid w:val="0"/>
        <w:spacing w:line="360" w:lineRule="auto"/>
        <w:ind w:firstLineChars="300" w:firstLine="960"/>
        <w:textAlignment w:val="baseline"/>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日</w:t>
      </w:r>
    </w:p>
    <w:p w:rsidR="00224557" w:rsidRDefault="00D81E73" w:rsidP="00224557">
      <w:pPr>
        <w:keepNext/>
        <w:overflowPunct w:val="0"/>
        <w:autoSpaceDE w:val="0"/>
        <w:autoSpaceDN w:val="0"/>
        <w:adjustRightInd w:val="0"/>
        <w:snapToGrid w:val="0"/>
        <w:spacing w:line="360" w:lineRule="auto"/>
        <w:ind w:firstLineChars="200" w:firstLine="720"/>
        <w:jc w:val="center"/>
        <w:textAlignment w:val="baseline"/>
        <w:rPr>
          <w:rFonts w:ascii="仿宋_GB2312" w:eastAsia="仿宋_GB2312" w:hAnsi="仿宋_GB2312" w:cs="仿宋_GB2312"/>
          <w:sz w:val="44"/>
          <w:szCs w:val="44"/>
          <w:u w:val="single"/>
        </w:rPr>
      </w:pPr>
      <w:r>
        <w:rPr>
          <w:rFonts w:ascii="仿宋_GB2312" w:eastAsia="仿宋_GB2312" w:hAnsi="仿宋_GB2312" w:cs="仿宋_GB2312" w:hint="eastAsia"/>
          <w:sz w:val="36"/>
          <w:szCs w:val="36"/>
          <w:u w:val="single"/>
        </w:rPr>
        <w:br w:type="page"/>
      </w:r>
    </w:p>
    <w:p w:rsidR="00224557" w:rsidRDefault="00D81E73" w:rsidP="00224557">
      <w:pPr>
        <w:keepNext/>
        <w:overflowPunct w:val="0"/>
        <w:autoSpaceDE w:val="0"/>
        <w:autoSpaceDN w:val="0"/>
        <w:adjustRightInd w:val="0"/>
        <w:snapToGrid w:val="0"/>
        <w:spacing w:line="360" w:lineRule="auto"/>
        <w:ind w:firstLineChars="200" w:firstLine="880"/>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填写说明</w:t>
      </w:r>
    </w:p>
    <w:p w:rsidR="00224557" w:rsidRDefault="00224557" w:rsidP="00224557">
      <w:pPr>
        <w:keepNext/>
        <w:overflowPunct w:val="0"/>
        <w:autoSpaceDE w:val="0"/>
        <w:autoSpaceDN w:val="0"/>
        <w:adjustRightInd w:val="0"/>
        <w:snapToGrid w:val="0"/>
        <w:spacing w:line="360" w:lineRule="auto"/>
        <w:ind w:firstLineChars="200" w:firstLine="880"/>
        <w:jc w:val="center"/>
        <w:textAlignment w:val="baseline"/>
        <w:rPr>
          <w:rFonts w:ascii="方正小标宋简体" w:eastAsia="方正小标宋简体" w:hAnsi="方正小标宋简体" w:cs="方正小标宋简体"/>
          <w:sz w:val="44"/>
          <w:szCs w:val="44"/>
        </w:rPr>
      </w:pP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报告材料应客观、真实，不得弄虚作假，不涉及国家秘密，填报单位对所提交材料的真实性负责。</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本报告除表格外，其他各项填报要求：</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幅面编辑，正文采用仿宋</w:t>
      </w:r>
      <w:r>
        <w:rPr>
          <w:rFonts w:ascii="仿宋_GB2312" w:eastAsia="仿宋_GB2312" w:hAnsi="仿宋_GB2312" w:cs="仿宋_GB2312" w:hint="eastAsia"/>
          <w:sz w:val="32"/>
          <w:szCs w:val="32"/>
        </w:rPr>
        <w:t>_GB2312</w:t>
      </w:r>
      <w:proofErr w:type="gramStart"/>
      <w:r>
        <w:rPr>
          <w:rFonts w:ascii="仿宋_GB2312" w:eastAsia="仿宋_GB2312" w:hAnsi="仿宋_GB2312" w:cs="仿宋_GB2312" w:hint="eastAsia"/>
          <w:sz w:val="32"/>
          <w:szCs w:val="32"/>
        </w:rPr>
        <w:t>三</w:t>
      </w:r>
      <w:proofErr w:type="gramEnd"/>
      <w:r>
        <w:rPr>
          <w:rFonts w:ascii="仿宋_GB2312" w:eastAsia="仿宋_GB2312" w:hAnsi="仿宋_GB2312" w:cs="仿宋_GB2312" w:hint="eastAsia"/>
          <w:sz w:val="32"/>
          <w:szCs w:val="32"/>
        </w:rPr>
        <w:t>号字，单</w:t>
      </w:r>
      <w:proofErr w:type="gramStart"/>
      <w:r>
        <w:rPr>
          <w:rFonts w:ascii="仿宋_GB2312" w:eastAsia="仿宋_GB2312" w:hAnsi="仿宋_GB2312" w:cs="仿宋_GB2312" w:hint="eastAsia"/>
          <w:sz w:val="32"/>
          <w:szCs w:val="32"/>
        </w:rPr>
        <w:t>倍</w:t>
      </w:r>
      <w:proofErr w:type="gramEnd"/>
      <w:r>
        <w:rPr>
          <w:rFonts w:ascii="仿宋_GB2312" w:eastAsia="仿宋_GB2312" w:hAnsi="仿宋_GB2312" w:cs="仿宋_GB2312" w:hint="eastAsia"/>
          <w:sz w:val="32"/>
          <w:szCs w:val="32"/>
        </w:rPr>
        <w:t>行间距，两端对齐，一级标题三号黑体，二级标题为三号楷体</w:t>
      </w:r>
      <w:r>
        <w:rPr>
          <w:rFonts w:ascii="仿宋_GB2312" w:eastAsia="仿宋_GB2312" w:hAnsi="仿宋_GB2312" w:cs="仿宋_GB2312" w:hint="eastAsia"/>
          <w:sz w:val="32"/>
          <w:szCs w:val="32"/>
        </w:rPr>
        <w:t>_GB2312</w:t>
      </w:r>
      <w:r>
        <w:rPr>
          <w:rFonts w:ascii="仿宋_GB2312" w:eastAsia="仿宋_GB2312" w:hAnsi="仿宋_GB2312" w:cs="仿宋_GB2312" w:hint="eastAsia"/>
          <w:sz w:val="32"/>
          <w:szCs w:val="32"/>
        </w:rPr>
        <w:t>加粗。</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需要在报告首页加盖公章。</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本报告未经允许不得公开。</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一、事件基本情况</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（包括数据安全事件的起因、经过、真实性、责任落实等情况，评估事件造成的影响和损失等）</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二、已采取的处置措施</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（包括数据处理者在管理制度、技术保护、人员管理等方面采取的处置措施，以及针对本次数据安全事件可能造成的危害已采取的应急手段、用户合法权益保护告知情况等）</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三、后续提升改进计划</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（包括针对相关数据安全事件情况，进一步提升数据安全保护能力的相关措施）</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黑体" w:eastAsia="黑体" w:hAnsi="黑体" w:cs="黑体"/>
          <w:sz w:val="32"/>
          <w:szCs w:val="32"/>
        </w:rPr>
      </w:pPr>
      <w:r>
        <w:rPr>
          <w:rFonts w:ascii="黑体" w:eastAsia="黑体" w:hAnsi="黑体" w:cs="黑体" w:hint="eastAsia"/>
          <w:sz w:val="32"/>
          <w:szCs w:val="32"/>
        </w:rPr>
        <w:t>四、工作经验总结</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（针对此类数据安全事件，总结分析事件防范和应急处置工作的经验教训等）</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五、其他事项</w:t>
      </w:r>
    </w:p>
    <w:p w:rsidR="00224557" w:rsidRDefault="00D81E73"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（其他需要补充说明的事项）</w:t>
      </w:r>
    </w:p>
    <w:p w:rsidR="00224557" w:rsidRDefault="00224557"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bookmarkStart w:id="15" w:name="_GoBack"/>
      <w:bookmarkEnd w:id="15"/>
    </w:p>
    <w:p w:rsidR="00224557" w:rsidRDefault="00224557" w:rsidP="00224557">
      <w:pPr>
        <w:keepNext/>
        <w:overflowPunct w:val="0"/>
        <w:autoSpaceDE w:val="0"/>
        <w:autoSpaceDN w:val="0"/>
        <w:adjustRightInd w:val="0"/>
        <w:snapToGrid w:val="0"/>
        <w:spacing w:line="360" w:lineRule="auto"/>
        <w:ind w:firstLineChars="200" w:firstLine="640"/>
        <w:textAlignment w:val="baseline"/>
        <w:rPr>
          <w:rFonts w:ascii="仿宋_GB2312" w:eastAsia="仿宋_GB2312" w:hAnsi="仿宋_GB2312" w:cs="仿宋_GB2312"/>
          <w:sz w:val="32"/>
          <w:szCs w:val="32"/>
        </w:rPr>
      </w:pPr>
    </w:p>
    <w:tbl>
      <w:tblPr>
        <w:tblpPr w:leftFromText="181" w:rightFromText="181" w:horzAnchor="page" w:tblpX="1639" w:tblpYSpec="bottom"/>
        <w:tblW w:w="8740" w:type="dxa"/>
        <w:tblBorders>
          <w:top w:val="single" w:sz="8" w:space="0" w:color="auto"/>
          <w:bottom w:val="single" w:sz="8" w:space="0" w:color="auto"/>
          <w:insideH w:val="single" w:sz="8" w:space="0" w:color="auto"/>
          <w:insideV w:val="single" w:sz="12" w:space="0" w:color="auto"/>
        </w:tblBorders>
        <w:tblLayout w:type="fixed"/>
        <w:tblLook w:val="04A0"/>
      </w:tblPr>
      <w:tblGrid>
        <w:gridCol w:w="8740"/>
      </w:tblGrid>
      <w:tr w:rsidR="00224557" w:rsidTr="00224557">
        <w:trPr>
          <w:trHeight w:hRule="exact" w:val="659"/>
        </w:trPr>
        <w:tc>
          <w:tcPr>
            <w:tcW w:w="8740" w:type="dxa"/>
            <w:tcBorders>
              <w:top w:val="single" w:sz="8" w:space="0" w:color="auto"/>
              <w:left w:val="nil"/>
              <w:bottom w:val="single" w:sz="8" w:space="0" w:color="auto"/>
              <w:right w:val="nil"/>
            </w:tcBorders>
          </w:tcPr>
          <w:p w:rsidR="00224557" w:rsidRDefault="00D81E73" w:rsidP="00224557">
            <w:pPr>
              <w:spacing w:line="360" w:lineRule="auto"/>
              <w:rPr>
                <w:rFonts w:ascii="仿宋_GB2312" w:eastAsia="仿宋_GB2312" w:hAnsi="宋体"/>
                <w:sz w:val="28"/>
                <w:szCs w:val="28"/>
              </w:rPr>
            </w:pPr>
            <w:r>
              <w:rPr>
                <w:rFonts w:ascii="仿宋" w:eastAsia="仿宋" w:hAnsi="仿宋" w:hint="eastAsia"/>
                <w:sz w:val="28"/>
                <w:szCs w:val="28"/>
              </w:rPr>
              <w:lastRenderedPageBreak/>
              <w:t xml:space="preserve"> </w:t>
            </w:r>
            <w:r>
              <w:rPr>
                <w:rFonts w:ascii="仿宋" w:eastAsia="仿宋" w:hAnsi="仿宋" w:hint="eastAsia"/>
                <w:sz w:val="28"/>
                <w:szCs w:val="28"/>
              </w:rPr>
              <w:t>内蒙古自治区工业和信息化厅办公室</w:t>
            </w: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Pr>
                <w:rFonts w:ascii="仿宋" w:eastAsia="仿宋" w:hAnsi="仿宋" w:hint="eastAsia"/>
                <w:sz w:val="28"/>
                <w:szCs w:val="28"/>
              </w:rPr>
              <w:t>202</w:t>
            </w:r>
            <w:r>
              <w:rPr>
                <w:rFonts w:ascii="仿宋" w:eastAsia="仿宋" w:hAnsi="仿宋" w:hint="eastAsia"/>
                <w:sz w:val="28"/>
                <w:szCs w:val="28"/>
              </w:rPr>
              <w:t>5</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2</w:t>
            </w:r>
            <w:r>
              <w:rPr>
                <w:rFonts w:ascii="仿宋" w:eastAsia="仿宋" w:hAnsi="仿宋" w:hint="eastAsia"/>
                <w:sz w:val="28"/>
                <w:szCs w:val="28"/>
              </w:rPr>
              <w:t>0</w:t>
            </w:r>
            <w:r>
              <w:rPr>
                <w:rFonts w:ascii="仿宋" w:eastAsia="仿宋" w:hAnsi="仿宋" w:hint="eastAsia"/>
                <w:sz w:val="28"/>
                <w:szCs w:val="28"/>
              </w:rPr>
              <w:t>日印发</w:t>
            </w:r>
          </w:p>
        </w:tc>
      </w:tr>
    </w:tbl>
    <w:p w:rsidR="00224557" w:rsidRDefault="00D81E73" w:rsidP="005D5F2B">
      <w:pPr>
        <w:keepNext/>
        <w:overflowPunct w:val="0"/>
        <w:autoSpaceDE w:val="0"/>
        <w:autoSpaceDN w:val="0"/>
        <w:adjustRightInd w:val="0"/>
        <w:snapToGrid w:val="0"/>
        <w:spacing w:line="360" w:lineRule="auto"/>
        <w:ind w:firstLineChars="200" w:firstLine="640"/>
        <w:textAlignment w:val="baseline"/>
      </w:pPr>
      <w:r>
        <w:rPr>
          <w:rFonts w:ascii="仿宋_GB2312" w:eastAsia="仿宋_GB2312" w:hAnsi="仿宋_GB2312" w:cs="仿宋_GB2312" w:hint="eastAsia"/>
          <w:sz w:val="32"/>
          <w:szCs w:val="32"/>
        </w:rPr>
        <w:t>注：请随附数据安全事件应急处置相关证明材料</w:t>
      </w:r>
    </w:p>
    <w:p w:rsidR="00224557" w:rsidRDefault="00224557" w:rsidP="00224557">
      <w:pPr>
        <w:spacing w:line="360" w:lineRule="auto"/>
      </w:pPr>
    </w:p>
    <w:sectPr w:rsidR="00224557" w:rsidSect="00224557">
      <w:headerReference w:type="even" r:id="rId8"/>
      <w:headerReference w:type="default" r:id="rId9"/>
      <w:footerReference w:type="even" r:id="rId10"/>
      <w:footerReference w:type="default" r:id="rId11"/>
      <w:pgSz w:w="11906" w:h="16838"/>
      <w:pgMar w:top="2098" w:right="1474" w:bottom="1587" w:left="1588" w:header="851" w:footer="90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E73" w:rsidRDefault="00D81E73">
      <w:pPr>
        <w:spacing w:line="240" w:lineRule="auto"/>
      </w:pPr>
      <w:r>
        <w:separator/>
      </w:r>
    </w:p>
  </w:endnote>
  <w:endnote w:type="continuationSeparator" w:id="0">
    <w:p w:rsidR="00D81E73" w:rsidRDefault="00D81E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altName w:val="方正楷体_GBK"/>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57" w:rsidRDefault="00224557">
    <w:pPr>
      <w:pStyle w:val="a4"/>
      <w:ind w:firstLineChars="50" w:firstLine="140"/>
      <w:rPr>
        <w:rFonts w:ascii="宋体" w:hAnsi="宋体"/>
        <w:sz w:val="28"/>
        <w:szCs w:val="28"/>
      </w:rPr>
    </w:pPr>
    <w:r>
      <w:rPr>
        <w:rFonts w:ascii="宋体" w:hAnsi="宋体"/>
        <w:sz w:val="28"/>
        <w:szCs w:val="28"/>
      </w:rPr>
      <w:fldChar w:fldCharType="begin"/>
    </w:r>
    <w:r w:rsidR="00D81E73">
      <w:rPr>
        <w:rFonts w:ascii="宋体" w:hAnsi="宋体"/>
        <w:sz w:val="28"/>
        <w:szCs w:val="28"/>
      </w:rPr>
      <w:instrText>PAGE   \* MERGEFORMAT</w:instrText>
    </w:r>
    <w:r>
      <w:rPr>
        <w:rFonts w:ascii="宋体" w:hAnsi="宋体"/>
        <w:sz w:val="28"/>
        <w:szCs w:val="28"/>
      </w:rPr>
      <w:fldChar w:fldCharType="separate"/>
    </w:r>
    <w:r w:rsidR="00D81E73">
      <w:rPr>
        <w:rFonts w:ascii="宋体" w:hAnsi="宋体"/>
        <w:sz w:val="28"/>
        <w:szCs w:val="28"/>
      </w:rPr>
      <w:t>- 2 -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57" w:rsidRDefault="00224557">
    <w:pPr>
      <w:pStyle w:val="a4"/>
      <w:wordWrap w:val="0"/>
      <w:jc w:val="right"/>
      <w:rPr>
        <w:rFonts w:ascii="宋体" w:hAnsi="宋体"/>
        <w:sz w:val="28"/>
        <w:szCs w:val="28"/>
      </w:rPr>
    </w:pPr>
    <w:r w:rsidRPr="00224557">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224557" w:rsidRDefault="00224557">
                <w:pPr>
                  <w:pStyle w:val="a4"/>
                  <w:wordWrap w:val="0"/>
                  <w:jc w:val="right"/>
                </w:pPr>
                <w:r>
                  <w:rPr>
                    <w:rFonts w:ascii="宋体" w:hAnsi="宋体"/>
                    <w:sz w:val="28"/>
                    <w:szCs w:val="28"/>
                  </w:rPr>
                  <w:fldChar w:fldCharType="begin"/>
                </w:r>
                <w:r w:rsidR="00D81E73">
                  <w:rPr>
                    <w:rFonts w:ascii="宋体" w:hAnsi="宋体"/>
                    <w:sz w:val="28"/>
                    <w:szCs w:val="28"/>
                  </w:rPr>
                  <w:instrText>PAGE   \* MERGEFORMAT</w:instrText>
                </w:r>
                <w:r>
                  <w:rPr>
                    <w:rFonts w:ascii="宋体" w:hAnsi="宋体"/>
                    <w:sz w:val="28"/>
                    <w:szCs w:val="28"/>
                  </w:rPr>
                  <w:fldChar w:fldCharType="separate"/>
                </w:r>
                <w:r w:rsidR="00675A9A" w:rsidRPr="00675A9A">
                  <w:rPr>
                    <w:rFonts w:ascii="宋体" w:hAnsi="宋体"/>
                    <w:noProof/>
                    <w:sz w:val="28"/>
                    <w:szCs w:val="28"/>
                    <w:lang w:val="zh-CN"/>
                  </w:rPr>
                  <w:t>-</w:t>
                </w:r>
                <w:r w:rsidR="00675A9A">
                  <w:rPr>
                    <w:rFonts w:ascii="宋体" w:hAnsi="宋体"/>
                    <w:noProof/>
                    <w:sz w:val="28"/>
                    <w:szCs w:val="28"/>
                  </w:rPr>
                  <w:t xml:space="preserve"> 24 -</w:t>
                </w:r>
                <w:r>
                  <w:rPr>
                    <w:rFonts w:ascii="宋体" w:hAnsi="宋体"/>
                    <w:sz w:val="28"/>
                    <w:szCs w:val="28"/>
                  </w:rPr>
                  <w:fldChar w:fldCharType="end"/>
                </w:r>
                <w:r w:rsidR="00D81E73">
                  <w:rPr>
                    <w:rFonts w:ascii="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E73" w:rsidRDefault="00D81E73">
      <w:pPr>
        <w:spacing w:after="0"/>
      </w:pPr>
      <w:r>
        <w:separator/>
      </w:r>
    </w:p>
  </w:footnote>
  <w:footnote w:type="continuationSeparator" w:id="0">
    <w:p w:rsidR="00D81E73" w:rsidRDefault="00D81E7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57" w:rsidRDefault="0022455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57" w:rsidRDefault="0022455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FE6845"/>
    <w:multiLevelType w:val="singleLevel"/>
    <w:tmpl w:val="DFFE6845"/>
    <w:lvl w:ilvl="0">
      <w:start w:val="2"/>
      <w:numFmt w:val="chineseCounting"/>
      <w:suff w:val="nothing"/>
      <w:lvlText w:val="（%1）"/>
      <w:lvlJc w:val="left"/>
      <w:rPr>
        <w:rFonts w:hint="eastAsia"/>
      </w:rPr>
    </w:lvl>
  </w:abstractNum>
  <w:abstractNum w:abstractNumId="1">
    <w:nsid w:val="22C23AB3"/>
    <w:multiLevelType w:val="multilevel"/>
    <w:tmpl w:val="22C23AB3"/>
    <w:lvl w:ilvl="0">
      <w:start w:val="1"/>
      <w:numFmt w:val="chineseCounting"/>
      <w:pStyle w:val="a"/>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3C133827"/>
    <w:multiLevelType w:val="multilevel"/>
    <w:tmpl w:val="3C133827"/>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pStyle w:val="1"/>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武震宇">
    <w15:presenceInfo w15:providerId="None" w15:userId="武震宇"/>
  </w15:person>
  <w15:person w15:author="米强:办公室审核">
    <w15:presenceInfo w15:providerId="None" w15:userId="米强:办公室审核"/>
  </w15:person>
  <w15:person w15:author="武震宇:返回承办人1">
    <w15:presenceInfo w15:providerId="None" w15:userId="武震宇:返回承办人1"/>
  </w15:person>
  <w15:person w15:author="吾日根:分发">
    <w15:presenceInfo w15:providerId="None" w15:userId="吾日根:分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E3DFEB10"/>
    <w:rsid w:val="E3DFEB10"/>
    <w:rsid w:val="FBBE994E"/>
    <w:rsid w:val="FDBE4A49"/>
    <w:rsid w:val="FE7F4F05"/>
    <w:rsid w:val="FF15A3BB"/>
    <w:rsid w:val="FFDEB340"/>
    <w:rsid w:val="00224557"/>
    <w:rsid w:val="005D5F2B"/>
    <w:rsid w:val="00675A9A"/>
    <w:rsid w:val="00D81E73"/>
    <w:rsid w:val="1DF72520"/>
    <w:rsid w:val="255025A6"/>
    <w:rsid w:val="2FBF3739"/>
    <w:rsid w:val="3F1F47E8"/>
    <w:rsid w:val="4A1947CF"/>
    <w:rsid w:val="4B7F6A49"/>
    <w:rsid w:val="4C3EFFE1"/>
    <w:rsid w:val="5FD970E7"/>
    <w:rsid w:val="64EBDC3F"/>
    <w:rsid w:val="67DE47D5"/>
    <w:rsid w:val="6AB4D8B6"/>
    <w:rsid w:val="6BFDF33D"/>
    <w:rsid w:val="6FEF9E35"/>
    <w:rsid w:val="76CF1BC8"/>
    <w:rsid w:val="76FF6B53"/>
    <w:rsid w:val="79274276"/>
    <w:rsid w:val="7A6B3542"/>
    <w:rsid w:val="7B1B073F"/>
    <w:rsid w:val="7B7C8A77"/>
    <w:rsid w:val="7B7D9FBD"/>
    <w:rsid w:val="7CFD29A4"/>
    <w:rsid w:val="7D59D20D"/>
    <w:rsid w:val="7D736DD9"/>
    <w:rsid w:val="7E7F0069"/>
    <w:rsid w:val="7FF729ED"/>
    <w:rsid w:val="9FAF5003"/>
    <w:rsid w:val="AFBF489C"/>
    <w:rsid w:val="BBFF7277"/>
    <w:rsid w:val="BFFDF2A2"/>
    <w:rsid w:val="D2F812DB"/>
    <w:rsid w:val="D3EB4552"/>
    <w:rsid w:val="DFF71197"/>
    <w:rsid w:val="DFFF3DD6"/>
    <w:rsid w:val="E3DFEB10"/>
    <w:rsid w:val="F3F9614F"/>
    <w:rsid w:val="F7FDCB1C"/>
    <w:rsid w:val="F99BC8C8"/>
    <w:rsid w:val="FAEFD2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4557"/>
    <w:pPr>
      <w:widowControl w:val="0"/>
      <w:spacing w:after="160" w:line="259" w:lineRule="auto"/>
      <w:jc w:val="both"/>
    </w:pPr>
    <w:rPr>
      <w:rFonts w:ascii="Calibri" w:eastAsia="宋体" w:hAnsi="Calibri" w:cs="Times New Roman"/>
      <w:kern w:val="2"/>
      <w:sz w:val="21"/>
      <w:szCs w:val="22"/>
    </w:rPr>
  </w:style>
  <w:style w:type="paragraph" w:styleId="10">
    <w:name w:val="heading 1"/>
    <w:basedOn w:val="a0"/>
    <w:next w:val="a0"/>
    <w:qFormat/>
    <w:rsid w:val="00224557"/>
    <w:pPr>
      <w:keepNext/>
      <w:keepLines/>
      <w:spacing w:line="576" w:lineRule="auto"/>
      <w:outlineLvl w:val="0"/>
    </w:pPr>
    <w:rPr>
      <w:rFonts w:ascii="仿宋" w:eastAsiaTheme="minorEastAsia" w:hAnsi="仿宋" w:cstheme="minorBidi"/>
      <w:b/>
      <w:color w:val="000000" w:themeColor="text1"/>
      <w:kern w:val="44"/>
      <w:sz w:val="44"/>
      <w:szCs w:val="24"/>
    </w:rPr>
  </w:style>
  <w:style w:type="paragraph" w:styleId="2">
    <w:name w:val="heading 2"/>
    <w:basedOn w:val="a0"/>
    <w:next w:val="a0"/>
    <w:semiHidden/>
    <w:unhideWhenUsed/>
    <w:qFormat/>
    <w:rsid w:val="00224557"/>
    <w:pPr>
      <w:keepNext/>
      <w:keepLines/>
      <w:numPr>
        <w:ilvl w:val="1"/>
        <w:numId w:val="1"/>
      </w:numPr>
      <w:spacing w:line="413" w:lineRule="auto"/>
      <w:outlineLvl w:val="1"/>
    </w:pPr>
    <w:rPr>
      <w:rFonts w:ascii="Arial" w:eastAsia="黑体" w:hAnsi="Arial" w:cstheme="minorBidi"/>
      <w:b/>
      <w:color w:val="000000" w:themeColor="text1"/>
      <w:sz w:val="32"/>
      <w:szCs w:val="24"/>
    </w:rPr>
  </w:style>
  <w:style w:type="paragraph" w:styleId="3">
    <w:name w:val="heading 3"/>
    <w:basedOn w:val="a0"/>
    <w:next w:val="a0"/>
    <w:semiHidden/>
    <w:unhideWhenUsed/>
    <w:qFormat/>
    <w:rsid w:val="00224557"/>
    <w:pPr>
      <w:keepNext/>
      <w:keepLines/>
      <w:numPr>
        <w:ilvl w:val="2"/>
        <w:numId w:val="1"/>
      </w:numPr>
      <w:spacing w:line="413" w:lineRule="auto"/>
      <w:outlineLvl w:val="2"/>
    </w:pPr>
    <w:rPr>
      <w:rFonts w:ascii="仿宋" w:eastAsiaTheme="minorEastAsia" w:hAnsi="仿宋" w:cstheme="minorBidi"/>
      <w:b/>
      <w:color w:val="000000" w:themeColor="text1"/>
      <w:sz w:val="32"/>
      <w:szCs w:val="24"/>
    </w:rPr>
  </w:style>
  <w:style w:type="paragraph" w:styleId="4">
    <w:name w:val="heading 4"/>
    <w:basedOn w:val="a0"/>
    <w:next w:val="a0"/>
    <w:semiHidden/>
    <w:unhideWhenUsed/>
    <w:qFormat/>
    <w:rsid w:val="00224557"/>
    <w:pPr>
      <w:keepNext/>
      <w:keepLines/>
      <w:numPr>
        <w:ilvl w:val="3"/>
        <w:numId w:val="1"/>
      </w:numPr>
      <w:spacing w:line="372" w:lineRule="auto"/>
      <w:outlineLvl w:val="3"/>
    </w:pPr>
    <w:rPr>
      <w:rFonts w:ascii="Arial" w:eastAsia="黑体" w:hAnsi="Arial" w:cstheme="minorBidi"/>
      <w:b/>
      <w:color w:val="000000" w:themeColor="text1"/>
      <w:sz w:val="28"/>
      <w:szCs w:val="24"/>
    </w:rPr>
  </w:style>
  <w:style w:type="paragraph" w:styleId="5">
    <w:name w:val="heading 5"/>
    <w:basedOn w:val="a0"/>
    <w:next w:val="a0"/>
    <w:semiHidden/>
    <w:unhideWhenUsed/>
    <w:qFormat/>
    <w:rsid w:val="00224557"/>
    <w:pPr>
      <w:keepNext/>
      <w:keepLines/>
      <w:numPr>
        <w:ilvl w:val="4"/>
        <w:numId w:val="1"/>
      </w:numPr>
      <w:spacing w:line="372" w:lineRule="auto"/>
      <w:outlineLvl w:val="4"/>
    </w:pPr>
    <w:rPr>
      <w:rFonts w:ascii="仿宋" w:eastAsiaTheme="minorEastAsia" w:hAnsi="仿宋" w:cstheme="minorBidi"/>
      <w:b/>
      <w:color w:val="000000" w:themeColor="text1"/>
      <w:sz w:val="28"/>
      <w:szCs w:val="24"/>
    </w:rPr>
  </w:style>
  <w:style w:type="paragraph" w:styleId="6">
    <w:name w:val="heading 6"/>
    <w:basedOn w:val="a0"/>
    <w:next w:val="a0"/>
    <w:semiHidden/>
    <w:unhideWhenUsed/>
    <w:qFormat/>
    <w:rsid w:val="00224557"/>
    <w:pPr>
      <w:keepNext/>
      <w:keepLines/>
      <w:numPr>
        <w:ilvl w:val="5"/>
        <w:numId w:val="1"/>
      </w:numPr>
      <w:spacing w:line="317" w:lineRule="auto"/>
      <w:outlineLvl w:val="5"/>
    </w:pPr>
    <w:rPr>
      <w:rFonts w:ascii="Arial" w:eastAsia="黑体" w:hAnsi="Arial" w:cstheme="minorBidi"/>
      <w:b/>
      <w:color w:val="000000" w:themeColor="text1"/>
      <w:sz w:val="24"/>
      <w:szCs w:val="24"/>
    </w:rPr>
  </w:style>
  <w:style w:type="paragraph" w:styleId="7">
    <w:name w:val="heading 7"/>
    <w:basedOn w:val="a0"/>
    <w:next w:val="a0"/>
    <w:semiHidden/>
    <w:unhideWhenUsed/>
    <w:qFormat/>
    <w:rsid w:val="00224557"/>
    <w:pPr>
      <w:keepNext/>
      <w:keepLines/>
      <w:numPr>
        <w:ilvl w:val="6"/>
        <w:numId w:val="1"/>
      </w:numPr>
      <w:spacing w:line="317" w:lineRule="auto"/>
      <w:outlineLvl w:val="6"/>
    </w:pPr>
    <w:rPr>
      <w:rFonts w:ascii="仿宋" w:eastAsiaTheme="minorEastAsia" w:hAnsi="仿宋" w:cstheme="minorBidi"/>
      <w:b/>
      <w:color w:val="000000" w:themeColor="text1"/>
      <w:sz w:val="24"/>
      <w:szCs w:val="24"/>
    </w:rPr>
  </w:style>
  <w:style w:type="paragraph" w:styleId="8">
    <w:name w:val="heading 8"/>
    <w:basedOn w:val="a0"/>
    <w:next w:val="a0"/>
    <w:semiHidden/>
    <w:unhideWhenUsed/>
    <w:qFormat/>
    <w:rsid w:val="00224557"/>
    <w:pPr>
      <w:keepNext/>
      <w:keepLines/>
      <w:numPr>
        <w:ilvl w:val="7"/>
        <w:numId w:val="1"/>
      </w:numPr>
      <w:spacing w:line="317" w:lineRule="auto"/>
      <w:outlineLvl w:val="7"/>
    </w:pPr>
    <w:rPr>
      <w:rFonts w:ascii="Arial" w:eastAsia="黑体" w:hAnsi="Arial" w:cstheme="minorBidi"/>
      <w:color w:val="000000" w:themeColor="text1"/>
      <w:sz w:val="24"/>
      <w:szCs w:val="24"/>
    </w:rPr>
  </w:style>
  <w:style w:type="paragraph" w:styleId="9">
    <w:name w:val="heading 9"/>
    <w:basedOn w:val="a0"/>
    <w:next w:val="a0"/>
    <w:semiHidden/>
    <w:unhideWhenUsed/>
    <w:qFormat/>
    <w:rsid w:val="00224557"/>
    <w:pPr>
      <w:keepNext/>
      <w:keepLines/>
      <w:numPr>
        <w:ilvl w:val="8"/>
        <w:numId w:val="1"/>
      </w:numPr>
      <w:spacing w:line="317" w:lineRule="auto"/>
      <w:outlineLvl w:val="8"/>
    </w:pPr>
    <w:rPr>
      <w:rFonts w:ascii="Arial" w:eastAsia="黑体" w:hAnsi="Arial" w:cstheme="minorBidi"/>
      <w:color w:val="000000" w:themeColor="text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224557"/>
    <w:pPr>
      <w:tabs>
        <w:tab w:val="center" w:pos="4153"/>
        <w:tab w:val="right" w:pos="8306"/>
      </w:tabs>
      <w:snapToGrid w:val="0"/>
      <w:jc w:val="left"/>
    </w:pPr>
    <w:rPr>
      <w:sz w:val="18"/>
      <w:szCs w:val="18"/>
    </w:rPr>
  </w:style>
  <w:style w:type="paragraph" w:styleId="a5">
    <w:name w:val="header"/>
    <w:basedOn w:val="a0"/>
    <w:qFormat/>
    <w:rsid w:val="00224557"/>
    <w:pPr>
      <w:pBdr>
        <w:bottom w:val="single" w:sz="6" w:space="1" w:color="auto"/>
      </w:pBdr>
      <w:tabs>
        <w:tab w:val="center" w:pos="4153"/>
        <w:tab w:val="right" w:pos="8306"/>
      </w:tabs>
      <w:snapToGrid w:val="0"/>
      <w:jc w:val="center"/>
    </w:pPr>
    <w:rPr>
      <w:sz w:val="18"/>
      <w:szCs w:val="18"/>
    </w:rPr>
  </w:style>
  <w:style w:type="table" w:styleId="a6">
    <w:name w:val="Table Grid"/>
    <w:basedOn w:val="a2"/>
    <w:qFormat/>
    <w:rsid w:val="00224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份号"/>
    <w:basedOn w:val="a0"/>
    <w:qFormat/>
    <w:rsid w:val="00224557"/>
    <w:pPr>
      <w:jc w:val="left"/>
    </w:pPr>
    <w:rPr>
      <w:rFonts w:ascii="仿宋" w:eastAsia="仿宋" w:hAnsi="仿宋" w:cstheme="minorBidi"/>
      <w:color w:val="000000" w:themeColor="text1"/>
      <w:sz w:val="32"/>
      <w:szCs w:val="24"/>
    </w:rPr>
  </w:style>
  <w:style w:type="paragraph" w:customStyle="1" w:styleId="a8">
    <w:name w:val="密级和保密期限"/>
    <w:qFormat/>
    <w:rsid w:val="00224557"/>
    <w:pPr>
      <w:spacing w:after="160" w:line="259" w:lineRule="auto"/>
    </w:pPr>
    <w:rPr>
      <w:rFonts w:ascii="黑体" w:eastAsia="黑体" w:hAnsi="黑体" w:cs="Times New Roman"/>
      <w:color w:val="000000" w:themeColor="text1"/>
      <w:sz w:val="32"/>
      <w:lang w:eastAsia="en-US"/>
    </w:rPr>
  </w:style>
  <w:style w:type="paragraph" w:customStyle="1" w:styleId="a9">
    <w:name w:val="紧急程度"/>
    <w:basedOn w:val="a8"/>
    <w:qFormat/>
    <w:rsid w:val="00224557"/>
  </w:style>
  <w:style w:type="paragraph" w:customStyle="1" w:styleId="aa">
    <w:name w:val="发文机关"/>
    <w:basedOn w:val="a0"/>
    <w:qFormat/>
    <w:rsid w:val="00224557"/>
    <w:pPr>
      <w:jc w:val="center"/>
    </w:pPr>
    <w:rPr>
      <w:rFonts w:ascii="方正小标宋简体" w:eastAsia="方正小标宋简体" w:hAnsi="方正小标宋简体" w:cstheme="minorBidi"/>
      <w:color w:val="FF0000"/>
      <w:sz w:val="84"/>
      <w:szCs w:val="24"/>
    </w:rPr>
  </w:style>
  <w:style w:type="paragraph" w:customStyle="1" w:styleId="ab">
    <w:name w:val="发文字号（平行/下行文）"/>
    <w:basedOn w:val="a0"/>
    <w:qFormat/>
    <w:rsid w:val="00224557"/>
    <w:pPr>
      <w:jc w:val="center"/>
    </w:pPr>
    <w:rPr>
      <w:rFonts w:ascii="仿宋" w:eastAsia="仿宋" w:hAnsi="仿宋" w:cstheme="minorBidi"/>
      <w:color w:val="000000" w:themeColor="text1"/>
      <w:sz w:val="32"/>
      <w:szCs w:val="24"/>
    </w:rPr>
  </w:style>
  <w:style w:type="character" w:customStyle="1" w:styleId="ac">
    <w:name w:val="发文字号（上行文）"/>
    <w:basedOn w:val="a1"/>
    <w:qFormat/>
    <w:rsid w:val="00224557"/>
    <w:rPr>
      <w:rFonts w:ascii="仿宋" w:eastAsia="仿宋" w:hAnsi="仿宋" w:cs="Times New Roman"/>
      <w:color w:val="000000" w:themeColor="text1"/>
      <w:sz w:val="32"/>
    </w:rPr>
  </w:style>
  <w:style w:type="character" w:customStyle="1" w:styleId="ad">
    <w:name w:val="签发人："/>
    <w:basedOn w:val="a1"/>
    <w:qFormat/>
    <w:rsid w:val="00224557"/>
    <w:rPr>
      <w:rFonts w:ascii="Calibri" w:eastAsia="仿宋" w:hAnsi="Calibri" w:cs="Times New Roman"/>
      <w:color w:val="000000" w:themeColor="text1"/>
      <w:sz w:val="32"/>
    </w:rPr>
  </w:style>
  <w:style w:type="character" w:customStyle="1" w:styleId="ae">
    <w:name w:val="签发人姓名"/>
    <w:basedOn w:val="a1"/>
    <w:qFormat/>
    <w:rsid w:val="00224557"/>
    <w:rPr>
      <w:rFonts w:ascii="Calibri" w:eastAsia="华文楷体" w:hAnsi="Calibri" w:cs="Times New Roman"/>
      <w:color w:val="000000" w:themeColor="text1"/>
      <w:sz w:val="32"/>
    </w:rPr>
  </w:style>
  <w:style w:type="paragraph" w:customStyle="1" w:styleId="af">
    <w:name w:val="正文标题"/>
    <w:basedOn w:val="a0"/>
    <w:qFormat/>
    <w:rsid w:val="00224557"/>
    <w:pPr>
      <w:jc w:val="center"/>
    </w:pPr>
    <w:rPr>
      <w:rFonts w:ascii="方正小标宋简体" w:eastAsia="方正小标宋简体" w:hAnsi="方正小标宋简体" w:cstheme="minorBidi"/>
      <w:color w:val="000000" w:themeColor="text1"/>
      <w:sz w:val="44"/>
      <w:szCs w:val="24"/>
    </w:rPr>
  </w:style>
  <w:style w:type="paragraph" w:customStyle="1" w:styleId="af0">
    <w:name w:val="主送机关"/>
    <w:basedOn w:val="a0"/>
    <w:qFormat/>
    <w:rsid w:val="00224557"/>
    <w:pPr>
      <w:jc w:val="left"/>
    </w:pPr>
    <w:rPr>
      <w:rFonts w:ascii="仿宋" w:eastAsia="仿宋" w:hAnsi="仿宋" w:cstheme="minorBidi"/>
      <w:color w:val="000000" w:themeColor="text1"/>
      <w:sz w:val="32"/>
      <w:szCs w:val="24"/>
    </w:rPr>
  </w:style>
  <w:style w:type="paragraph" w:customStyle="1" w:styleId="1">
    <w:name w:val="样式1"/>
    <w:basedOn w:val="a0"/>
    <w:qFormat/>
    <w:rsid w:val="00224557"/>
    <w:pPr>
      <w:numPr>
        <w:ilvl w:val="2"/>
        <w:numId w:val="2"/>
      </w:numPr>
    </w:pPr>
    <w:rPr>
      <w:rFonts w:ascii="仿宋" w:eastAsiaTheme="minorEastAsia" w:hAnsi="仿宋" w:cstheme="minorBidi"/>
      <w:color w:val="000000" w:themeColor="text1"/>
      <w:szCs w:val="24"/>
    </w:rPr>
  </w:style>
  <w:style w:type="paragraph" w:customStyle="1" w:styleId="a">
    <w:name w:val="正文第一级"/>
    <w:basedOn w:val="10"/>
    <w:next w:val="a0"/>
    <w:qFormat/>
    <w:rsid w:val="00224557"/>
    <w:pPr>
      <w:numPr>
        <w:numId w:val="1"/>
      </w:numPr>
      <w:spacing w:line="240" w:lineRule="auto"/>
    </w:pPr>
    <w:rPr>
      <w:rFonts w:eastAsia="黑体"/>
      <w:b w:val="0"/>
      <w:sz w:val="32"/>
    </w:rPr>
  </w:style>
  <w:style w:type="paragraph" w:customStyle="1" w:styleId="af1">
    <w:name w:val="正文第二级"/>
    <w:basedOn w:val="2"/>
    <w:next w:val="a0"/>
    <w:qFormat/>
    <w:rsid w:val="00224557"/>
    <w:pPr>
      <w:spacing w:line="240" w:lineRule="auto"/>
      <w:ind w:firstLineChars="200" w:firstLine="643"/>
    </w:pPr>
    <w:rPr>
      <w:rFonts w:ascii="楷体" w:eastAsia="楷体" w:hAnsi="楷体"/>
      <w:b w:val="0"/>
    </w:rPr>
  </w:style>
  <w:style w:type="paragraph" w:customStyle="1" w:styleId="af2">
    <w:name w:val="正文第三级"/>
    <w:basedOn w:val="3"/>
    <w:next w:val="a0"/>
    <w:qFormat/>
    <w:rsid w:val="00224557"/>
    <w:pPr>
      <w:spacing w:line="240" w:lineRule="auto"/>
      <w:ind w:firstLineChars="200" w:firstLine="643"/>
    </w:pPr>
    <w:rPr>
      <w:rFonts w:eastAsia="仿宋"/>
      <w:b w:val="0"/>
    </w:rPr>
  </w:style>
  <w:style w:type="paragraph" w:customStyle="1" w:styleId="af3">
    <w:name w:val="正文第四级"/>
    <w:basedOn w:val="4"/>
    <w:next w:val="a0"/>
    <w:qFormat/>
    <w:rsid w:val="00224557"/>
    <w:pPr>
      <w:spacing w:line="240" w:lineRule="auto"/>
      <w:ind w:firstLineChars="200" w:firstLine="562"/>
    </w:pPr>
    <w:rPr>
      <w:rFonts w:ascii="仿宋" w:eastAsia="仿宋" w:hAnsi="仿宋"/>
      <w:b w:val="0"/>
      <w:sz w:val="32"/>
    </w:rPr>
  </w:style>
  <w:style w:type="paragraph" w:customStyle="1" w:styleId="af4">
    <w:name w:val="附件：（单个附件）"/>
    <w:basedOn w:val="a0"/>
    <w:qFormat/>
    <w:rsid w:val="00224557"/>
    <w:pPr>
      <w:ind w:leftChars="200" w:left="1600" w:hangingChars="300" w:hanging="960"/>
    </w:pPr>
    <w:rPr>
      <w:rFonts w:ascii="仿宋" w:eastAsia="仿宋" w:hAnsi="仿宋" w:cstheme="minorBidi"/>
      <w:color w:val="000000" w:themeColor="text1"/>
      <w:sz w:val="32"/>
      <w:szCs w:val="24"/>
    </w:rPr>
  </w:style>
  <w:style w:type="paragraph" w:customStyle="1" w:styleId="11">
    <w:name w:val="附件：1."/>
    <w:basedOn w:val="af4"/>
    <w:qFormat/>
    <w:rsid w:val="00224557"/>
    <w:pPr>
      <w:ind w:left="1920" w:hangingChars="400" w:hanging="1280"/>
    </w:pPr>
  </w:style>
  <w:style w:type="paragraph" w:customStyle="1" w:styleId="20">
    <w:name w:val="附件：2. 及以上"/>
    <w:basedOn w:val="11"/>
    <w:qFormat/>
    <w:rsid w:val="00224557"/>
    <w:pPr>
      <w:ind w:leftChars="500" w:hangingChars="100" w:hanging="320"/>
    </w:pPr>
  </w:style>
  <w:style w:type="character" w:customStyle="1" w:styleId="af5">
    <w:name w:val="发文机关署名（盖章）"/>
    <w:basedOn w:val="a1"/>
    <w:qFormat/>
    <w:rsid w:val="00224557"/>
    <w:rPr>
      <w:rFonts w:ascii="仿宋" w:eastAsia="仿宋" w:hAnsi="仿宋" w:cs="Times New Roman"/>
      <w:sz w:val="32"/>
    </w:rPr>
  </w:style>
  <w:style w:type="paragraph" w:customStyle="1" w:styleId="af6">
    <w:name w:val="成文日期（盖章）"/>
    <w:basedOn w:val="a0"/>
    <w:qFormat/>
    <w:rsid w:val="00224557"/>
    <w:pPr>
      <w:ind w:rightChars="400" w:right="1280"/>
      <w:jc w:val="right"/>
    </w:pPr>
    <w:rPr>
      <w:rFonts w:ascii="仿宋" w:eastAsia="仿宋" w:hAnsi="仿宋" w:cstheme="minorBidi"/>
      <w:color w:val="000000" w:themeColor="text1"/>
      <w:sz w:val="32"/>
      <w:szCs w:val="24"/>
    </w:rPr>
  </w:style>
  <w:style w:type="paragraph" w:customStyle="1" w:styleId="af7">
    <w:name w:val="发文机关署名（不盖章）"/>
    <w:basedOn w:val="af6"/>
    <w:qFormat/>
    <w:rsid w:val="00224557"/>
    <w:pPr>
      <w:ind w:rightChars="200" w:right="640"/>
    </w:pPr>
  </w:style>
  <w:style w:type="paragraph" w:customStyle="1" w:styleId="af8">
    <w:name w:val="成文日期（不盖章）"/>
    <w:basedOn w:val="af7"/>
    <w:qFormat/>
    <w:rsid w:val="00224557"/>
    <w:pPr>
      <w:ind w:rightChars="0" w:right="0"/>
    </w:pPr>
  </w:style>
  <w:style w:type="paragraph" w:customStyle="1" w:styleId="af9">
    <w:name w:val="附注"/>
    <w:basedOn w:val="a0"/>
    <w:qFormat/>
    <w:rsid w:val="00224557"/>
    <w:pPr>
      <w:jc w:val="left"/>
    </w:pPr>
    <w:rPr>
      <w:rFonts w:ascii="仿宋" w:eastAsia="仿宋" w:hAnsi="仿宋" w:cstheme="minorBidi"/>
      <w:color w:val="000000" w:themeColor="text1"/>
      <w:sz w:val="32"/>
      <w:szCs w:val="24"/>
    </w:rPr>
  </w:style>
  <w:style w:type="paragraph" w:customStyle="1" w:styleId="afa">
    <w:name w:val="附件"/>
    <w:basedOn w:val="a0"/>
    <w:qFormat/>
    <w:rsid w:val="00224557"/>
    <w:pPr>
      <w:jc w:val="left"/>
    </w:pPr>
    <w:rPr>
      <w:rFonts w:ascii="仿宋" w:eastAsia="黑体" w:hAnsi="仿宋" w:cstheme="minorBidi"/>
      <w:color w:val="000000" w:themeColor="text1"/>
      <w:sz w:val="32"/>
      <w:szCs w:val="24"/>
    </w:rPr>
  </w:style>
  <w:style w:type="paragraph" w:customStyle="1" w:styleId="afb">
    <w:name w:val="抄送机关"/>
    <w:basedOn w:val="afc"/>
    <w:qFormat/>
    <w:rsid w:val="00224557"/>
    <w:pPr>
      <w:ind w:leftChars="100" w:left="320" w:rightChars="100" w:right="320" w:firstLineChars="0" w:firstLine="0"/>
    </w:pPr>
    <w:rPr>
      <w:sz w:val="28"/>
    </w:rPr>
  </w:style>
  <w:style w:type="paragraph" w:customStyle="1" w:styleId="afc">
    <w:name w:val="公文_正文"/>
    <w:basedOn w:val="a0"/>
    <w:qFormat/>
    <w:rsid w:val="00224557"/>
    <w:pPr>
      <w:ind w:firstLineChars="200" w:firstLine="420"/>
    </w:pPr>
    <w:rPr>
      <w:rFonts w:ascii="仿宋" w:eastAsia="仿宋" w:hAnsi="仿宋" w:cstheme="minorBidi"/>
      <w:color w:val="000000" w:themeColor="text1"/>
      <w:sz w:val="32"/>
      <w:szCs w:val="24"/>
    </w:rPr>
  </w:style>
  <w:style w:type="paragraph" w:customStyle="1" w:styleId="afd">
    <w:name w:val="印发机关和印发日期"/>
    <w:basedOn w:val="a0"/>
    <w:qFormat/>
    <w:rsid w:val="00224557"/>
    <w:pPr>
      <w:ind w:leftChars="100" w:left="320" w:rightChars="100" w:right="320"/>
    </w:pPr>
    <w:rPr>
      <w:rFonts w:ascii="仿宋" w:eastAsia="仿宋" w:hAnsi="仿宋" w:cstheme="minorBidi"/>
      <w:color w:val="000000" w:themeColor="text1"/>
      <w:sz w:val="28"/>
      <w:szCs w:val="24"/>
    </w:rPr>
  </w:style>
  <w:style w:type="paragraph" w:customStyle="1" w:styleId="afe">
    <w:name w:val="公文_页码"/>
    <w:basedOn w:val="a0"/>
    <w:qFormat/>
    <w:rsid w:val="00224557"/>
    <w:pPr>
      <w:jc w:val="left"/>
    </w:pPr>
    <w:rPr>
      <w:rFonts w:ascii="仿宋" w:hAnsi="仿宋" w:cstheme="minorBidi"/>
      <w:color w:val="000000" w:themeColor="text1"/>
      <w:sz w:val="28"/>
      <w:szCs w:val="24"/>
    </w:rPr>
  </w:style>
  <w:style w:type="paragraph" w:styleId="aff">
    <w:name w:val="Balloon Text"/>
    <w:basedOn w:val="a0"/>
    <w:link w:val="Char"/>
    <w:rsid w:val="005D5F2B"/>
    <w:pPr>
      <w:spacing w:after="0" w:line="240" w:lineRule="auto"/>
    </w:pPr>
    <w:rPr>
      <w:sz w:val="18"/>
      <w:szCs w:val="18"/>
    </w:rPr>
  </w:style>
  <w:style w:type="character" w:customStyle="1" w:styleId="Char">
    <w:name w:val="批注框文本 Char"/>
    <w:basedOn w:val="a1"/>
    <w:link w:val="aff"/>
    <w:rsid w:val="005D5F2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陈欣琪</dc:creator>
  <cp:lastModifiedBy>gy</cp:lastModifiedBy>
  <cp:revision>4</cp:revision>
  <cp:lastPrinted>2022-01-16T09:45:00Z</cp:lastPrinted>
  <dcterms:created xsi:type="dcterms:W3CDTF">2019-01-20T14:11:00Z</dcterms:created>
  <dcterms:modified xsi:type="dcterms:W3CDTF">2025-05-23T09:08:00Z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10B21E239C0627F60A2B3068F11D1EEF_42</vt:lpwstr>
  </property>
</Properties>
</file>