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20" w:lineRule="exact"/>
        <w:ind w:firstLine="88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202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3</w:t>
      </w:r>
      <w:r>
        <w:rPr>
          <w:rFonts w:ascii="方正小标宋简体" w:hAnsi="方正小标宋简体" w:eastAsia="方正小标宋简体" w:cs="方正小标宋简体"/>
          <w:sz w:val="44"/>
        </w:rPr>
        <w:t>年无线电管理经费项目绩效评价自评报告</w:t>
      </w:r>
    </w:p>
    <w:p>
      <w:pPr>
        <w:numPr>
          <w:ilvl w:val="0"/>
          <w:numId w:val="1"/>
        </w:numPr>
        <w:spacing w:line="240" w:lineRule="auto"/>
        <w:ind w:left="0" w:firstLine="0" w:firstLineChars="0"/>
        <w:jc w:val="left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项目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基本</w:t>
      </w:r>
      <w:r>
        <w:rPr>
          <w:rFonts w:hint="eastAsia" w:ascii="仿宋" w:hAnsi="仿宋" w:eastAsia="仿宋"/>
          <w:b/>
          <w:sz w:val="32"/>
          <w:szCs w:val="32"/>
        </w:rPr>
        <w:t>情况</w:t>
      </w:r>
    </w:p>
    <w:p>
      <w:pPr>
        <w:spacing w:before="188" w:line="204" w:lineRule="auto"/>
        <w:ind w:firstLine="577"/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 w:cs="仿宋"/>
          <w:spacing w:val="3"/>
          <w:sz w:val="30"/>
          <w:szCs w:val="30"/>
        </w:rPr>
        <w:t>（一）项目基本情况简介。</w:t>
      </w:r>
    </w:p>
    <w:p>
      <w:pPr>
        <w:numPr>
          <w:ilvl w:val="0"/>
          <w:numId w:val="0"/>
        </w:numPr>
        <w:spacing w:before="188" w:line="204" w:lineRule="auto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保障重大活动无线电安全无事故发生，航空、铁路无线电专用频率受到长效有机制的监测保护，及时受理各类无线电干扰申诉，积极排查和协调解决有效保障设台单位用频安全。打击各类考试中利用无线电手段作弊事件，有效维护考试公平公正。定期进行无线电专业技术人员培训及演练，提高技术人员技术水平和素养。提高应对突发事件能力，服务国民建设、国家安全、维护社会稳定，促进国民经济发展、改善人民生活水平。</w:t>
      </w:r>
    </w:p>
    <w:p>
      <w:pPr>
        <w:numPr>
          <w:ilvl w:val="0"/>
          <w:numId w:val="0"/>
        </w:numPr>
        <w:spacing w:before="188" w:line="204" w:lineRule="auto"/>
        <w:ind w:firstLine="632" w:firstLineChars="200"/>
        <w:rPr>
          <w:rFonts w:ascii="仿宋" w:hAnsi="仿宋" w:eastAsia="仿宋" w:cs="仿宋"/>
          <w:spacing w:val="8"/>
          <w:sz w:val="30"/>
          <w:szCs w:val="30"/>
        </w:rPr>
      </w:pPr>
      <w:r>
        <w:rPr>
          <w:rFonts w:hint="eastAsia" w:ascii="仿宋" w:hAnsi="仿宋" w:eastAsia="仿宋" w:cs="仿宋"/>
          <w:spacing w:val="8"/>
          <w:sz w:val="30"/>
          <w:szCs w:val="30"/>
          <w:lang w:eastAsia="zh-CN"/>
        </w:rPr>
        <w:t>（二）</w:t>
      </w:r>
      <w:r>
        <w:rPr>
          <w:rFonts w:ascii="仿宋" w:hAnsi="仿宋" w:eastAsia="仿宋" w:cs="仿宋"/>
          <w:spacing w:val="8"/>
          <w:sz w:val="30"/>
          <w:szCs w:val="30"/>
        </w:rPr>
        <w:t>绩效目标设定及</w:t>
      </w:r>
      <w:r>
        <w:rPr>
          <w:rFonts w:hint="eastAsia" w:ascii="仿宋" w:hAnsi="仿宋" w:eastAsia="仿宋" w:cs="仿宋"/>
          <w:spacing w:val="8"/>
          <w:sz w:val="30"/>
          <w:szCs w:val="30"/>
          <w:lang w:val="en-US" w:eastAsia="zh-CN"/>
        </w:rPr>
        <w:t>指标</w:t>
      </w:r>
      <w:r>
        <w:rPr>
          <w:rFonts w:ascii="仿宋" w:hAnsi="仿宋" w:eastAsia="仿宋" w:cs="仿宋"/>
          <w:spacing w:val="8"/>
          <w:sz w:val="30"/>
          <w:szCs w:val="30"/>
        </w:rPr>
        <w:t>完成情况。</w:t>
      </w:r>
    </w:p>
    <w:p>
      <w:pPr>
        <w:numPr>
          <w:ilvl w:val="0"/>
          <w:numId w:val="0"/>
        </w:numPr>
        <w:spacing w:before="188" w:line="204" w:lineRule="auto"/>
        <w:ind w:left="420" w:leftChars="0" w:firstLine="420" w:firstLineChars="0"/>
        <w:rPr>
          <w:rFonts w:hint="eastAsia" w:ascii="仿宋" w:hAnsi="仿宋" w:eastAsia="仿宋" w:cs="仿宋"/>
          <w:color w:val="auto"/>
          <w:spacing w:val="8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8"/>
          <w:sz w:val="30"/>
          <w:szCs w:val="30"/>
          <w:lang w:val="en-US" w:eastAsia="zh-CN"/>
        </w:rPr>
        <w:t>预期目标：</w:t>
      </w:r>
      <w:r>
        <w:rPr>
          <w:rFonts w:ascii="仿宋" w:hAnsi="仿宋" w:eastAsia="仿宋" w:cs="仿宋"/>
          <w:color w:val="auto"/>
          <w:spacing w:val="8"/>
          <w:sz w:val="30"/>
        </w:rPr>
        <w:t>完成重大活动无线电安全保障工作。对航空、铁路沿线进行专用频率保护性监测。及时受理各类无线电干扰申诉，积极排查和协调解决。考试保障，有效维护考试公平公正。重点边贸口岸无线电监测站点选址、边境监测和数据采集、分析，为边境无线电管理工作提供依据。日常维修维护监测站设备，特种车辆养护，保障设备正常运转。</w:t>
      </w:r>
    </w:p>
    <w:p>
      <w:pPr>
        <w:numPr>
          <w:ilvl w:val="0"/>
          <w:numId w:val="0"/>
        </w:numPr>
        <w:spacing w:before="188" w:line="204" w:lineRule="auto"/>
        <w:ind w:left="420" w:leftChars="0" w:firstLine="420" w:firstLineChars="0"/>
        <w:rPr>
          <w:rFonts w:hint="default" w:ascii="仿宋" w:hAnsi="仿宋" w:eastAsia="仿宋" w:cs="仿宋"/>
          <w:color w:val="auto"/>
          <w:spacing w:val="8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8"/>
          <w:sz w:val="30"/>
          <w:szCs w:val="30"/>
          <w:lang w:val="en-US" w:eastAsia="zh-CN"/>
        </w:rPr>
        <w:t>绩效目标实际完成情况：</w:t>
      </w:r>
      <w:r>
        <w:rPr>
          <w:rFonts w:ascii="仿宋" w:hAnsi="仿宋" w:eastAsia="仿宋" w:cs="仿宋"/>
          <w:color w:val="auto"/>
          <w:spacing w:val="8"/>
          <w:sz w:val="30"/>
        </w:rPr>
        <w:t>完成“两会”、“春运”国家和地方重大型活动无线电安全保障工作，开展日常监测和专项监测工作， 对国家和自治区要求的频段开展测试，共计2150小时。及时受理无线电干扰投诉11起，排查解决11起。有效保障用频安全，维护空中电波秩序。配合相关部门完成30余次各类考试的无线电安全保障任务，各类考试共出动人员150人次、车辆50辆次。日常维修维护巡检监测站16次。</w:t>
      </w:r>
    </w:p>
    <w:p>
      <w:pPr>
        <w:spacing w:line="620" w:lineRule="exact"/>
        <w:ind w:firstLine="640"/>
        <w:rPr>
          <w:rFonts w:hint="eastAsia" w:ascii="仿宋"/>
          <w:sz w:val="32"/>
        </w:rPr>
      </w:pPr>
    </w:p>
    <w:p>
      <w:pPr>
        <w:numPr>
          <w:ilvl w:val="0"/>
          <w:numId w:val="1"/>
        </w:numPr>
        <w:spacing w:line="240" w:lineRule="auto"/>
        <w:ind w:left="0" w:firstLine="0" w:firstLineChars="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绩效自评工作</w:t>
      </w:r>
      <w:r>
        <w:rPr>
          <w:rFonts w:hint="eastAsia" w:ascii="仿宋" w:hAnsi="仿宋" w:eastAsia="仿宋"/>
          <w:b/>
          <w:sz w:val="32"/>
          <w:szCs w:val="32"/>
        </w:rPr>
        <w:t>情况</w:t>
      </w:r>
    </w:p>
    <w:p>
      <w:pPr>
        <w:numPr>
          <w:ilvl w:val="0"/>
          <w:numId w:val="2"/>
        </w:numPr>
        <w:spacing w:before="188" w:line="204" w:lineRule="auto"/>
        <w:ind w:firstLine="577"/>
        <w:rPr>
          <w:rFonts w:ascii="仿宋" w:hAnsi="仿宋" w:eastAsia="仿宋" w:cs="仿宋"/>
          <w:spacing w:val="1"/>
          <w:sz w:val="30"/>
          <w:szCs w:val="30"/>
        </w:rPr>
      </w:pPr>
      <w:r>
        <w:rPr>
          <w:rFonts w:ascii="仿宋" w:hAnsi="仿宋" w:eastAsia="仿宋" w:cs="仿宋"/>
          <w:spacing w:val="1"/>
          <w:sz w:val="30"/>
          <w:szCs w:val="30"/>
        </w:rPr>
        <w:t>绩效自评目的。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仿宋" w:hAnsi="仿宋" w:eastAsia="仿宋" w:cs="仿宋"/>
          <w:spacing w:val="1"/>
          <w:sz w:val="30"/>
          <w:szCs w:val="30"/>
        </w:rPr>
      </w:pPr>
      <w:r>
        <w:rPr>
          <w:rFonts w:hint="default" w:ascii="仿宋" w:hAnsi="仿宋" w:eastAsia="仿宋" w:cs="仿宋"/>
          <w:spacing w:val="1"/>
          <w:sz w:val="30"/>
          <w:szCs w:val="30"/>
        </w:rPr>
        <w:t>通过自评发现问题，寻找项目的绩效改进点，尽可能从数量、质量、成本和时效等全方面细化。监测战略和目标的执行情况。使绩效目标合理可行，尽可能符合国民经济和社会发展规划、部门职能及事业发展规划，并与相应的财政支出范围、方向、效果紧密相关。完善项目资金使用明细，使重大项目管理制度更加科学合理，程序更加规范透明，分配更加公平公正，资金更加安全高效。</w:t>
      </w:r>
    </w:p>
    <w:p>
      <w:pPr>
        <w:spacing w:before="189" w:line="204" w:lineRule="auto"/>
        <w:ind w:firstLine="577"/>
        <w:rPr>
          <w:rFonts w:ascii="仿宋" w:hAnsi="仿宋" w:eastAsia="仿宋" w:cs="仿宋"/>
          <w:spacing w:val="4"/>
          <w:sz w:val="30"/>
          <w:szCs w:val="30"/>
        </w:rPr>
      </w:pPr>
      <w:r>
        <w:rPr>
          <w:rFonts w:ascii="仿宋" w:hAnsi="仿宋" w:eastAsia="仿宋" w:cs="仿宋"/>
          <w:spacing w:val="4"/>
          <w:sz w:val="30"/>
          <w:szCs w:val="30"/>
        </w:rPr>
        <w:t>（二）项目资金投入情况。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9" w:line="312" w:lineRule="auto"/>
        <w:ind w:left="420" w:leftChars="0" w:firstLine="420" w:firstLineChars="0"/>
        <w:textAlignment w:val="baseline"/>
        <w:rPr>
          <w:rFonts w:hint="eastAsia" w:ascii="仿宋" w:hAnsi="仿宋" w:eastAsia="仿宋" w:cs="仿宋"/>
          <w:color w:val="auto"/>
          <w:spacing w:val="4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4"/>
          <w:sz w:val="30"/>
          <w:szCs w:val="30"/>
          <w:lang w:val="en-US" w:eastAsia="zh-CN"/>
        </w:rPr>
        <w:t>本年度资金年初预算数130.71</w:t>
      </w:r>
      <w:r>
        <w:rPr>
          <w:rFonts w:ascii="仿宋" w:hAnsi="仿宋" w:eastAsia="仿宋" w:cs="仿宋"/>
          <w:color w:val="auto"/>
          <w:spacing w:val="4"/>
          <w:sz w:val="30"/>
        </w:rPr>
        <w:t>万元，其中：财政拨款</w:t>
      </w:r>
      <w:r>
        <w:rPr>
          <w:rFonts w:hint="eastAsia" w:ascii="仿宋" w:hAnsi="仿宋" w:eastAsia="仿宋" w:cs="仿宋"/>
          <w:color w:val="auto"/>
          <w:spacing w:val="4"/>
          <w:sz w:val="30"/>
          <w:lang w:val="en-US" w:eastAsia="zh-CN"/>
        </w:rPr>
        <w:t>111</w:t>
      </w:r>
      <w:r>
        <w:rPr>
          <w:rFonts w:ascii="仿宋" w:hAnsi="仿宋" w:eastAsia="仿宋" w:cs="仿宋"/>
          <w:color w:val="auto"/>
          <w:spacing w:val="4"/>
          <w:sz w:val="30"/>
        </w:rPr>
        <w:t>万元，其他资金0.00万元</w:t>
      </w:r>
      <w:r>
        <w:rPr>
          <w:rFonts w:hint="eastAsia" w:ascii="仿宋" w:hAnsi="仿宋" w:eastAsia="仿宋" w:cs="仿宋"/>
          <w:color w:val="auto"/>
          <w:spacing w:val="4"/>
          <w:sz w:val="30"/>
          <w:lang w:eastAsia="zh-CN"/>
        </w:rPr>
        <w:t>，上年结转资金</w:t>
      </w:r>
      <w:r>
        <w:rPr>
          <w:rFonts w:hint="eastAsia" w:ascii="仿宋" w:hAnsi="仿宋" w:eastAsia="仿宋" w:cs="仿宋"/>
          <w:color w:val="auto"/>
          <w:spacing w:val="4"/>
          <w:sz w:val="30"/>
          <w:lang w:val="en-US" w:eastAsia="zh-CN"/>
        </w:rPr>
        <w:t>19.71万元。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9" w:line="312" w:lineRule="auto"/>
        <w:ind w:left="420" w:leftChars="0" w:firstLine="420" w:firstLineChars="0"/>
        <w:textAlignment w:val="baseline"/>
        <w:rPr>
          <w:rFonts w:hint="default" w:ascii="仿宋" w:hAnsi="仿宋" w:eastAsia="仿宋" w:cs="仿宋"/>
          <w:color w:val="auto"/>
          <w:spacing w:val="4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4"/>
          <w:sz w:val="30"/>
          <w:szCs w:val="30"/>
          <w:lang w:val="en-US" w:eastAsia="zh-CN"/>
        </w:rPr>
        <w:t>本年度资金全年预算数</w:t>
      </w:r>
      <w:r>
        <w:rPr>
          <w:rFonts w:hint="eastAsia" w:ascii="仿宋" w:hAnsi="仿宋" w:eastAsia="仿宋" w:cs="仿宋"/>
          <w:color w:val="auto"/>
          <w:spacing w:val="4"/>
          <w:sz w:val="30"/>
          <w:lang w:val="en-US" w:eastAsia="zh-CN"/>
        </w:rPr>
        <w:t>121.91</w:t>
      </w:r>
      <w:r>
        <w:rPr>
          <w:rFonts w:ascii="仿宋" w:hAnsi="仿宋" w:eastAsia="仿宋" w:cs="仿宋"/>
          <w:color w:val="auto"/>
          <w:spacing w:val="4"/>
          <w:sz w:val="30"/>
        </w:rPr>
        <w:t>万元，其中：财政拨款</w:t>
      </w:r>
      <w:r>
        <w:rPr>
          <w:rFonts w:hint="eastAsia" w:ascii="仿宋" w:hAnsi="仿宋" w:eastAsia="仿宋" w:cs="仿宋"/>
          <w:color w:val="auto"/>
          <w:spacing w:val="4"/>
          <w:sz w:val="30"/>
          <w:lang w:val="en-US" w:eastAsia="zh-CN"/>
        </w:rPr>
        <w:t>111</w:t>
      </w:r>
      <w:r>
        <w:rPr>
          <w:rFonts w:ascii="仿宋" w:hAnsi="仿宋" w:eastAsia="仿宋" w:cs="仿宋"/>
          <w:color w:val="auto"/>
          <w:spacing w:val="4"/>
          <w:sz w:val="30"/>
        </w:rPr>
        <w:t>万元，其他资金0万元</w:t>
      </w:r>
      <w:r>
        <w:rPr>
          <w:rFonts w:hint="eastAsia" w:ascii="仿宋" w:hAnsi="仿宋" w:eastAsia="仿宋" w:cs="仿宋"/>
          <w:color w:val="auto"/>
          <w:spacing w:val="4"/>
          <w:sz w:val="30"/>
          <w:lang w:eastAsia="zh-CN"/>
        </w:rPr>
        <w:t>，上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pacing w:val="4"/>
          <w:sz w:val="30"/>
          <w:lang w:eastAsia="zh-CN"/>
        </w:rPr>
        <w:t>年结转资金</w:t>
      </w:r>
      <w:r>
        <w:rPr>
          <w:rFonts w:hint="eastAsia" w:ascii="仿宋" w:hAnsi="仿宋" w:eastAsia="仿宋" w:cs="仿宋"/>
          <w:color w:val="auto"/>
          <w:spacing w:val="4"/>
          <w:sz w:val="30"/>
          <w:lang w:val="en-US" w:eastAsia="zh-CN"/>
        </w:rPr>
        <w:t>10.91万元。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9" w:line="312" w:lineRule="auto"/>
        <w:ind w:left="420" w:leftChars="0" w:firstLine="420" w:firstLineChars="0"/>
        <w:textAlignment w:val="baseline"/>
        <w:rPr>
          <w:rFonts w:hint="default" w:ascii="仿宋" w:hAnsi="仿宋" w:eastAsia="仿宋" w:cs="仿宋"/>
          <w:color w:val="auto"/>
          <w:spacing w:val="4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4"/>
          <w:sz w:val="30"/>
          <w:szCs w:val="30"/>
          <w:lang w:val="en-US" w:eastAsia="zh-CN"/>
        </w:rPr>
        <w:t>本年度资金全年执行数</w:t>
      </w:r>
      <w:r>
        <w:rPr>
          <w:rFonts w:hint="eastAsia" w:ascii="仿宋" w:hAnsi="仿宋" w:eastAsia="仿宋" w:cs="仿宋"/>
          <w:color w:val="auto"/>
          <w:spacing w:val="4"/>
          <w:sz w:val="30"/>
          <w:lang w:val="en-US" w:eastAsia="zh-CN"/>
        </w:rPr>
        <w:t>92.85</w:t>
      </w:r>
      <w:r>
        <w:rPr>
          <w:rFonts w:ascii="仿宋" w:hAnsi="仿宋" w:eastAsia="仿宋" w:cs="仿宋"/>
          <w:color w:val="auto"/>
          <w:spacing w:val="4"/>
          <w:sz w:val="30"/>
        </w:rPr>
        <w:t>万元，其中：财政拨款</w:t>
      </w:r>
      <w:r>
        <w:rPr>
          <w:rFonts w:hint="eastAsia" w:ascii="仿宋" w:hAnsi="仿宋" w:eastAsia="仿宋" w:cs="仿宋"/>
          <w:color w:val="auto"/>
          <w:spacing w:val="4"/>
          <w:sz w:val="30"/>
          <w:lang w:val="en-US" w:eastAsia="zh-CN"/>
        </w:rPr>
        <w:t>92.85</w:t>
      </w:r>
      <w:r>
        <w:rPr>
          <w:rFonts w:ascii="仿宋" w:hAnsi="仿宋" w:eastAsia="仿宋" w:cs="仿宋"/>
          <w:color w:val="auto"/>
          <w:spacing w:val="4"/>
          <w:sz w:val="30"/>
        </w:rPr>
        <w:t>万元，其他资金0万元。</w:t>
      </w:r>
    </w:p>
    <w:p>
      <w:pPr>
        <w:numPr>
          <w:ilvl w:val="0"/>
          <w:numId w:val="0"/>
        </w:numPr>
        <w:spacing w:before="188" w:line="204" w:lineRule="auto"/>
        <w:ind w:leftChars="200"/>
        <w:rPr>
          <w:rFonts w:ascii="仿宋" w:hAnsi="仿宋" w:eastAsia="仿宋" w:cs="仿宋"/>
          <w:spacing w:val="4"/>
          <w:sz w:val="30"/>
          <w:szCs w:val="30"/>
        </w:rPr>
      </w:pPr>
      <w:r>
        <w:rPr>
          <w:rFonts w:hint="eastAsia" w:ascii="仿宋" w:hAnsi="仿宋" w:eastAsia="仿宋" w:cs="仿宋"/>
          <w:spacing w:val="4"/>
          <w:sz w:val="30"/>
          <w:szCs w:val="30"/>
          <w:lang w:eastAsia="zh-CN"/>
        </w:rPr>
        <w:t>（三）</w:t>
      </w:r>
      <w:r>
        <w:rPr>
          <w:rFonts w:ascii="仿宋" w:hAnsi="仿宋" w:eastAsia="仿宋" w:cs="仿宋"/>
          <w:spacing w:val="4"/>
          <w:sz w:val="30"/>
          <w:szCs w:val="30"/>
        </w:rPr>
        <w:t>项目资金产出情况。</w:t>
      </w:r>
    </w:p>
    <w:p>
      <w:pPr>
        <w:keepNext w:val="0"/>
        <w:keepLines w:val="0"/>
        <w:widowControl/>
        <w:suppressLineNumbers w:val="0"/>
        <w:jc w:val="left"/>
        <w:rPr>
          <w:rFonts w:ascii="仿宋" w:hAnsi="仿宋" w:eastAsia="仿宋" w:cs="仿宋"/>
          <w:spacing w:val="4"/>
          <w:sz w:val="30"/>
          <w:szCs w:val="30"/>
        </w:rPr>
      </w:pPr>
      <w:r>
        <w:rPr>
          <w:rFonts w:hint="default" w:ascii="仿宋" w:hAnsi="仿宋" w:eastAsia="仿宋" w:cs="仿宋"/>
          <w:spacing w:val="1"/>
          <w:sz w:val="30"/>
          <w:szCs w:val="30"/>
        </w:rPr>
        <w:t>我单位202</w:t>
      </w:r>
      <w:r>
        <w:rPr>
          <w:rFonts w:hint="eastAsia" w:ascii="仿宋" w:hAnsi="仿宋" w:eastAsia="仿宋" w:cs="仿宋"/>
          <w:spacing w:val="1"/>
          <w:sz w:val="30"/>
          <w:szCs w:val="30"/>
          <w:lang w:val="en-US" w:eastAsia="zh-CN"/>
        </w:rPr>
        <w:t>3</w:t>
      </w:r>
      <w:r>
        <w:rPr>
          <w:rFonts w:hint="default" w:ascii="仿宋" w:hAnsi="仿宋" w:eastAsia="仿宋" w:cs="仿宋"/>
          <w:spacing w:val="1"/>
          <w:sz w:val="30"/>
          <w:szCs w:val="30"/>
        </w:rPr>
        <w:t>年无线电管理经费项目资金预算</w:t>
      </w:r>
      <w:r>
        <w:rPr>
          <w:rFonts w:hint="eastAsia" w:ascii="仿宋" w:hAnsi="仿宋" w:eastAsia="仿宋" w:cs="仿宋"/>
          <w:spacing w:val="1"/>
          <w:sz w:val="30"/>
          <w:szCs w:val="30"/>
          <w:lang w:val="en-US" w:eastAsia="zh-CN"/>
        </w:rPr>
        <w:t>111</w:t>
      </w:r>
      <w:r>
        <w:rPr>
          <w:rFonts w:hint="default" w:ascii="仿宋" w:hAnsi="仿宋" w:eastAsia="仿宋" w:cs="仿宋"/>
          <w:spacing w:val="1"/>
          <w:sz w:val="30"/>
          <w:szCs w:val="30"/>
        </w:rPr>
        <w:t>万元，202</w:t>
      </w:r>
      <w:r>
        <w:rPr>
          <w:rFonts w:hint="eastAsia" w:ascii="仿宋" w:hAnsi="仿宋" w:eastAsia="仿宋" w:cs="仿宋"/>
          <w:spacing w:val="1"/>
          <w:sz w:val="30"/>
          <w:szCs w:val="30"/>
          <w:lang w:val="en-US" w:eastAsia="zh-CN"/>
        </w:rPr>
        <w:t>2</w:t>
      </w:r>
      <w:r>
        <w:rPr>
          <w:rFonts w:hint="default" w:ascii="仿宋" w:hAnsi="仿宋" w:eastAsia="仿宋" w:cs="仿宋"/>
          <w:spacing w:val="1"/>
          <w:sz w:val="30"/>
          <w:szCs w:val="30"/>
        </w:rPr>
        <w:t>年结转结余</w:t>
      </w:r>
      <w:r>
        <w:rPr>
          <w:rFonts w:hint="eastAsia" w:ascii="仿宋" w:hAnsi="仿宋" w:eastAsia="仿宋" w:cs="仿宋"/>
          <w:spacing w:val="1"/>
          <w:sz w:val="30"/>
          <w:szCs w:val="30"/>
          <w:lang w:val="en-US" w:eastAsia="zh-CN"/>
        </w:rPr>
        <w:t>10.91</w:t>
      </w:r>
      <w:r>
        <w:rPr>
          <w:rFonts w:hint="default" w:ascii="仿宋" w:hAnsi="仿宋" w:eastAsia="仿宋" w:cs="仿宋"/>
          <w:spacing w:val="1"/>
          <w:sz w:val="30"/>
          <w:szCs w:val="30"/>
        </w:rPr>
        <w:t>万元。主要用途包括租赁费、差旅费、物业费、维修（护）费、取暖费、电费和公车运行维护费，全年支出合计金额</w:t>
      </w:r>
      <w:r>
        <w:rPr>
          <w:rFonts w:hint="eastAsia" w:ascii="仿宋" w:hAnsi="仿宋" w:eastAsia="仿宋" w:cs="仿宋"/>
          <w:spacing w:val="1"/>
          <w:sz w:val="30"/>
          <w:szCs w:val="30"/>
          <w:lang w:val="en-US" w:eastAsia="zh-CN"/>
        </w:rPr>
        <w:t>92.85</w:t>
      </w:r>
      <w:r>
        <w:rPr>
          <w:rFonts w:hint="default" w:ascii="仿宋" w:hAnsi="仿宋" w:eastAsia="仿宋" w:cs="仿宋"/>
          <w:spacing w:val="1"/>
          <w:sz w:val="30"/>
          <w:szCs w:val="30"/>
        </w:rPr>
        <w:t>万元。具体包括：租赁费支出</w:t>
      </w:r>
      <w:r>
        <w:rPr>
          <w:rFonts w:hint="eastAsia" w:ascii="仿宋" w:hAnsi="仿宋" w:eastAsia="仿宋" w:cs="仿宋"/>
          <w:spacing w:val="1"/>
          <w:sz w:val="30"/>
          <w:szCs w:val="30"/>
          <w:lang w:val="en-US" w:eastAsia="zh-CN"/>
        </w:rPr>
        <w:t>65.57</w:t>
      </w:r>
      <w:r>
        <w:rPr>
          <w:rFonts w:hint="default" w:ascii="仿宋" w:hAnsi="仿宋" w:eastAsia="仿宋" w:cs="仿宋"/>
          <w:spacing w:val="1"/>
          <w:sz w:val="30"/>
          <w:szCs w:val="30"/>
        </w:rPr>
        <w:t>万元；差旅费支出</w:t>
      </w:r>
      <w:r>
        <w:rPr>
          <w:rFonts w:hint="eastAsia" w:ascii="仿宋" w:hAnsi="仿宋" w:eastAsia="仿宋" w:cs="仿宋"/>
          <w:spacing w:val="1"/>
          <w:sz w:val="30"/>
          <w:szCs w:val="30"/>
          <w:lang w:val="en-US" w:eastAsia="zh-CN"/>
        </w:rPr>
        <w:t>3.46</w:t>
      </w:r>
      <w:r>
        <w:rPr>
          <w:rFonts w:hint="default" w:ascii="仿宋" w:hAnsi="仿宋" w:eastAsia="仿宋" w:cs="仿宋"/>
          <w:spacing w:val="1"/>
          <w:sz w:val="30"/>
          <w:szCs w:val="30"/>
        </w:rPr>
        <w:t>万元；物业费支出</w:t>
      </w:r>
      <w:r>
        <w:rPr>
          <w:rFonts w:hint="eastAsia" w:ascii="仿宋" w:hAnsi="仿宋" w:eastAsia="仿宋" w:cs="仿宋"/>
          <w:spacing w:val="1"/>
          <w:sz w:val="30"/>
          <w:szCs w:val="30"/>
          <w:lang w:val="en-US" w:eastAsia="zh-CN"/>
        </w:rPr>
        <w:t>4.95</w:t>
      </w:r>
      <w:r>
        <w:rPr>
          <w:rFonts w:hint="default" w:ascii="仿宋" w:hAnsi="仿宋" w:eastAsia="仿宋" w:cs="仿宋"/>
          <w:spacing w:val="1"/>
          <w:sz w:val="30"/>
          <w:szCs w:val="30"/>
        </w:rPr>
        <w:t>万元；维修（护）费支出</w:t>
      </w:r>
      <w:r>
        <w:rPr>
          <w:rFonts w:hint="eastAsia" w:ascii="仿宋" w:hAnsi="仿宋" w:eastAsia="仿宋" w:cs="仿宋"/>
          <w:spacing w:val="1"/>
          <w:sz w:val="30"/>
          <w:szCs w:val="30"/>
          <w:lang w:val="en-US" w:eastAsia="zh-CN"/>
        </w:rPr>
        <w:t>9.63</w:t>
      </w:r>
      <w:r>
        <w:rPr>
          <w:rFonts w:hint="default" w:ascii="仿宋" w:hAnsi="仿宋" w:eastAsia="仿宋" w:cs="仿宋"/>
          <w:spacing w:val="1"/>
          <w:sz w:val="30"/>
          <w:szCs w:val="30"/>
        </w:rPr>
        <w:t>万元；取暖费支出</w:t>
      </w:r>
      <w:r>
        <w:rPr>
          <w:rFonts w:hint="eastAsia" w:ascii="仿宋" w:hAnsi="仿宋" w:eastAsia="仿宋" w:cs="仿宋"/>
          <w:spacing w:val="1"/>
          <w:sz w:val="30"/>
          <w:szCs w:val="30"/>
          <w:lang w:val="en-US" w:eastAsia="zh-CN"/>
        </w:rPr>
        <w:t>2.94</w:t>
      </w:r>
      <w:r>
        <w:rPr>
          <w:rFonts w:hint="default" w:ascii="仿宋" w:hAnsi="仿宋" w:eastAsia="仿宋" w:cs="仿宋"/>
          <w:spacing w:val="1"/>
          <w:sz w:val="30"/>
          <w:szCs w:val="30"/>
        </w:rPr>
        <w:t>万元；电费支出</w:t>
      </w:r>
      <w:r>
        <w:rPr>
          <w:rFonts w:hint="eastAsia" w:ascii="仿宋" w:hAnsi="仿宋" w:eastAsia="仿宋" w:cs="仿宋"/>
          <w:spacing w:val="1"/>
          <w:sz w:val="30"/>
          <w:szCs w:val="30"/>
          <w:lang w:val="en-US" w:eastAsia="zh-CN"/>
        </w:rPr>
        <w:t>1.18</w:t>
      </w:r>
      <w:r>
        <w:rPr>
          <w:rFonts w:hint="default" w:ascii="仿宋" w:hAnsi="仿宋" w:eastAsia="仿宋" w:cs="仿宋"/>
          <w:spacing w:val="1"/>
          <w:sz w:val="30"/>
          <w:szCs w:val="30"/>
        </w:rPr>
        <w:t>万元；公车运行维护费支出</w:t>
      </w:r>
      <w:r>
        <w:rPr>
          <w:rFonts w:hint="eastAsia" w:ascii="仿宋" w:hAnsi="仿宋" w:eastAsia="仿宋" w:cs="仿宋"/>
          <w:spacing w:val="1"/>
          <w:sz w:val="30"/>
          <w:szCs w:val="30"/>
          <w:lang w:val="en-US" w:eastAsia="zh-CN"/>
        </w:rPr>
        <w:t>4.75</w:t>
      </w:r>
      <w:r>
        <w:rPr>
          <w:rFonts w:hint="default" w:ascii="仿宋" w:hAnsi="仿宋" w:eastAsia="仿宋" w:cs="仿宋"/>
          <w:spacing w:val="1"/>
          <w:sz w:val="30"/>
          <w:szCs w:val="30"/>
        </w:rPr>
        <w:t>万元。执行率为</w:t>
      </w:r>
      <w:r>
        <w:rPr>
          <w:rFonts w:hint="eastAsia" w:ascii="仿宋" w:hAnsi="仿宋" w:eastAsia="仿宋" w:cs="仿宋"/>
          <w:spacing w:val="1"/>
          <w:sz w:val="30"/>
          <w:szCs w:val="30"/>
          <w:lang w:val="en-US" w:eastAsia="zh-CN"/>
        </w:rPr>
        <w:t>76.16</w:t>
      </w:r>
      <w:r>
        <w:rPr>
          <w:rFonts w:hint="default" w:ascii="仿宋" w:hAnsi="仿宋" w:eastAsia="仿宋" w:cs="仿宋"/>
          <w:spacing w:val="1"/>
          <w:sz w:val="30"/>
          <w:szCs w:val="30"/>
        </w:rPr>
        <w:t>%。</w:t>
      </w:r>
    </w:p>
    <w:p>
      <w:pPr>
        <w:numPr>
          <w:ilvl w:val="0"/>
          <w:numId w:val="0"/>
        </w:numPr>
        <w:spacing w:before="189" w:line="204" w:lineRule="auto"/>
        <w:ind w:leftChars="200"/>
        <w:rPr>
          <w:rFonts w:ascii="仿宋" w:hAnsi="仿宋" w:eastAsia="仿宋" w:cs="仿宋"/>
          <w:spacing w:val="2"/>
          <w:sz w:val="30"/>
          <w:szCs w:val="30"/>
        </w:rPr>
      </w:pPr>
      <w:r>
        <w:rPr>
          <w:rFonts w:hint="eastAsia" w:ascii="仿宋" w:hAnsi="仿宋" w:eastAsia="仿宋" w:cs="仿宋"/>
          <w:spacing w:val="2"/>
          <w:sz w:val="30"/>
          <w:szCs w:val="30"/>
          <w:lang w:eastAsia="zh-CN"/>
        </w:rPr>
        <w:t>（四）</w:t>
      </w:r>
      <w:r>
        <w:rPr>
          <w:rFonts w:ascii="仿宋" w:hAnsi="仿宋" w:eastAsia="仿宋" w:cs="仿宋"/>
          <w:spacing w:val="2"/>
          <w:sz w:val="30"/>
          <w:szCs w:val="30"/>
        </w:rPr>
        <w:t>项目资金管理情况。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仿宋" w:hAnsi="仿宋" w:eastAsia="仿宋" w:cs="仿宋"/>
          <w:spacing w:val="1"/>
          <w:sz w:val="30"/>
          <w:szCs w:val="30"/>
        </w:rPr>
      </w:pPr>
      <w:r>
        <w:rPr>
          <w:rFonts w:hint="default" w:ascii="仿宋" w:hAnsi="仿宋" w:eastAsia="仿宋" w:cs="仿宋"/>
          <w:spacing w:val="1"/>
          <w:sz w:val="30"/>
          <w:szCs w:val="30"/>
        </w:rPr>
        <w:t>我单位严格按照预算规定的用途进行资金审批程序和使用，厉行节约，避免浪费，使项目资金发挥最大的效能，大额资金使用按照“三重一大”事项议事规则，建立健全专项资金管理的处理和责任追究制度。自觉接受财政、审计、纪检监察等职能部门的监督，做到有法可依，有章可循，实现管理的规范化、制度化。使重大项目管理制度更加科学合理，程序更加规范透明，分配更加公平公正，资金更加安全高效。</w:t>
      </w:r>
    </w:p>
    <w:p>
      <w:pPr>
        <w:numPr>
          <w:ilvl w:val="0"/>
          <w:numId w:val="0"/>
        </w:numPr>
        <w:spacing w:before="189" w:line="204" w:lineRule="auto"/>
        <w:ind w:leftChars="200"/>
        <w:rPr>
          <w:rFonts w:ascii="仿宋" w:hAnsi="仿宋" w:eastAsia="仿宋" w:cs="仿宋"/>
          <w:spacing w:val="2"/>
          <w:sz w:val="30"/>
          <w:szCs w:val="30"/>
        </w:rPr>
      </w:pPr>
    </w:p>
    <w:p>
      <w:pPr>
        <w:numPr>
          <w:ilvl w:val="0"/>
          <w:numId w:val="1"/>
        </w:numPr>
        <w:spacing w:line="240" w:lineRule="auto"/>
        <w:ind w:left="0" w:firstLine="0" w:firstLineChars="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项目绩效情况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(一) 产出指标完成情况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1、数量指标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1)定期巡检监测站，目标值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大于</w:t>
      </w:r>
      <w:r>
        <w:rPr>
          <w:rFonts w:hint="eastAsia" w:ascii="仿宋" w:hAnsi="仿宋" w:eastAsia="仿宋"/>
          <w:sz w:val="32"/>
          <w:szCs w:val="32"/>
        </w:rPr>
        <w:t>8.0</w:t>
      </w:r>
      <w:r>
        <w:rPr>
          <w:rFonts w:ascii="仿宋" w:hAnsi="仿宋" w:eastAsia="仿宋" w:cs="仿宋"/>
          <w:sz w:val="32"/>
        </w:rPr>
        <w:t>次，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16次，分值5，得分5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2)查处出干扰次数，目标值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大于等于</w:t>
      </w:r>
      <w:r>
        <w:rPr>
          <w:rFonts w:hint="eastAsia" w:ascii="仿宋" w:hAnsi="仿宋" w:eastAsia="仿宋"/>
          <w:sz w:val="32"/>
          <w:szCs w:val="32"/>
        </w:rPr>
        <w:t>10.0</w:t>
      </w:r>
      <w:r>
        <w:rPr>
          <w:rFonts w:ascii="仿宋" w:hAnsi="仿宋" w:eastAsia="仿宋" w:cs="仿宋"/>
          <w:sz w:val="32"/>
        </w:rPr>
        <w:t>次，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11次，分值10，得分10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3)服务企业数量，目标值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大于</w:t>
      </w:r>
      <w:r>
        <w:rPr>
          <w:rFonts w:hint="eastAsia" w:ascii="仿宋" w:hAnsi="仿宋" w:eastAsia="仿宋"/>
          <w:sz w:val="32"/>
          <w:szCs w:val="32"/>
        </w:rPr>
        <w:t>30.0</w:t>
      </w:r>
      <w:r>
        <w:rPr>
          <w:rFonts w:ascii="仿宋" w:hAnsi="仿宋" w:eastAsia="仿宋" w:cs="仿宋"/>
          <w:sz w:val="32"/>
        </w:rPr>
        <w:t>家，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28家，分值5，得分4.67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4)考试保障次数，目标值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大于等于</w:t>
      </w:r>
      <w:r>
        <w:rPr>
          <w:rFonts w:hint="eastAsia" w:ascii="仿宋" w:hAnsi="仿宋" w:eastAsia="仿宋"/>
          <w:sz w:val="32"/>
          <w:szCs w:val="32"/>
        </w:rPr>
        <w:t>30.0</w:t>
      </w:r>
      <w:r>
        <w:rPr>
          <w:rFonts w:ascii="仿宋" w:hAnsi="仿宋" w:eastAsia="仿宋" w:cs="仿宋"/>
          <w:sz w:val="32"/>
        </w:rPr>
        <w:t>次，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28次，分值5，得分4.67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2、质量指标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5)干扰申诉处理率，目标值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大于</w:t>
      </w:r>
      <w:r>
        <w:rPr>
          <w:rFonts w:hint="eastAsia" w:ascii="仿宋" w:hAnsi="仿宋" w:eastAsia="仿宋"/>
          <w:sz w:val="32"/>
          <w:szCs w:val="32"/>
        </w:rPr>
        <w:t>95.0</w:t>
      </w:r>
      <w:r>
        <w:rPr>
          <w:rFonts w:ascii="仿宋" w:hAnsi="仿宋" w:eastAsia="仿宋" w:cs="仿宋"/>
          <w:sz w:val="32"/>
        </w:rPr>
        <w:t>%，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95%，分值10，得分10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6)设备维修维护率，目标值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大于</w:t>
      </w:r>
      <w:r>
        <w:rPr>
          <w:rFonts w:hint="eastAsia" w:ascii="仿宋" w:hAnsi="仿宋" w:eastAsia="仿宋"/>
          <w:sz w:val="32"/>
          <w:szCs w:val="32"/>
        </w:rPr>
        <w:t>98.0</w:t>
      </w:r>
      <w:r>
        <w:rPr>
          <w:rFonts w:ascii="仿宋" w:hAnsi="仿宋" w:eastAsia="仿宋" w:cs="仿宋"/>
          <w:sz w:val="32"/>
        </w:rPr>
        <w:t>%，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98%，分值5，得分5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3、时效指标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7)及时处理无线电干扰申诉率，目标值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大于</w:t>
      </w:r>
      <w:r>
        <w:rPr>
          <w:rFonts w:hint="eastAsia" w:ascii="仿宋" w:hAnsi="仿宋" w:eastAsia="仿宋"/>
          <w:sz w:val="32"/>
          <w:szCs w:val="32"/>
        </w:rPr>
        <w:t>95.0</w:t>
      </w:r>
      <w:r>
        <w:rPr>
          <w:rFonts w:ascii="仿宋" w:hAnsi="仿宋" w:eastAsia="仿宋" w:cs="仿宋"/>
          <w:sz w:val="32"/>
        </w:rPr>
        <w:t>%，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90%，分值5，得分4.74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8)及时解决设备故障率，目标值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大于</w:t>
      </w:r>
      <w:r>
        <w:rPr>
          <w:rFonts w:hint="eastAsia" w:ascii="仿宋" w:hAnsi="仿宋" w:eastAsia="仿宋"/>
          <w:sz w:val="32"/>
          <w:szCs w:val="32"/>
        </w:rPr>
        <w:t>98.0</w:t>
      </w:r>
      <w:r>
        <w:rPr>
          <w:rFonts w:ascii="仿宋" w:hAnsi="仿宋" w:eastAsia="仿宋" w:cs="仿宋"/>
          <w:sz w:val="32"/>
        </w:rPr>
        <w:t>%，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98%，分值5，得分5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4、成本指标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(二) 效益指标完成情况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5、经济效益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9)收缴频率占用费，目标值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大于等于</w:t>
      </w:r>
      <w:r>
        <w:rPr>
          <w:rFonts w:hint="eastAsia" w:ascii="仿宋" w:hAnsi="仿宋" w:eastAsia="仿宋"/>
          <w:sz w:val="32"/>
          <w:szCs w:val="32"/>
        </w:rPr>
        <w:t>30.0</w:t>
      </w:r>
      <w:r>
        <w:rPr>
          <w:rFonts w:ascii="仿宋" w:hAnsi="仿宋" w:eastAsia="仿宋" w:cs="仿宋"/>
          <w:sz w:val="32"/>
        </w:rPr>
        <w:t>万元，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45.69</w:t>
      </w:r>
      <w:r>
        <w:rPr>
          <w:rFonts w:ascii="仿宋" w:hAnsi="仿宋" w:eastAsia="仿宋" w:cs="仿宋"/>
          <w:sz w:val="32"/>
        </w:rPr>
        <w:t>万元，分值5，得分5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10)无线电工作稳定良好发展促进相关产业发展，目标值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大于等于</w:t>
      </w:r>
      <w:r>
        <w:rPr>
          <w:rFonts w:hint="eastAsia" w:ascii="仿宋" w:hAnsi="仿宋" w:eastAsia="仿宋"/>
          <w:sz w:val="32"/>
          <w:szCs w:val="32"/>
        </w:rPr>
        <w:t>95.0</w:t>
      </w:r>
      <w:r>
        <w:rPr>
          <w:rFonts w:ascii="仿宋" w:hAnsi="仿宋" w:eastAsia="仿宋" w:cs="仿宋"/>
          <w:sz w:val="32"/>
        </w:rPr>
        <w:t>%，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95%，分值5，得分5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6、社会效益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11)顺利完成无线电保障任务率，目标值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大于</w:t>
      </w:r>
      <w:r>
        <w:rPr>
          <w:rFonts w:hint="eastAsia" w:ascii="仿宋" w:hAnsi="仿宋" w:eastAsia="仿宋"/>
          <w:sz w:val="32"/>
          <w:szCs w:val="32"/>
        </w:rPr>
        <w:t>95.0</w:t>
      </w:r>
      <w:r>
        <w:rPr>
          <w:rFonts w:ascii="仿宋" w:hAnsi="仿宋" w:eastAsia="仿宋" w:cs="仿宋"/>
          <w:sz w:val="32"/>
        </w:rPr>
        <w:t>%，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95%，分值5，得分5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12)无线电工作良好完成稳定电波秩序，目标值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大于</w:t>
      </w:r>
      <w:r>
        <w:rPr>
          <w:rFonts w:hint="eastAsia" w:ascii="仿宋" w:hAnsi="仿宋" w:eastAsia="仿宋"/>
          <w:sz w:val="32"/>
          <w:szCs w:val="32"/>
        </w:rPr>
        <w:t>95.0</w:t>
      </w:r>
      <w:r>
        <w:rPr>
          <w:rFonts w:ascii="仿宋" w:hAnsi="仿宋" w:eastAsia="仿宋" w:cs="仿宋"/>
          <w:sz w:val="32"/>
        </w:rPr>
        <w:t>%，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90%，分值5，得分4.74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7、生态效益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13)及时查处非法设台，净化电磁环境，目标值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大于</w:t>
      </w:r>
      <w:r>
        <w:rPr>
          <w:rFonts w:hint="eastAsia" w:ascii="仿宋" w:hAnsi="仿宋" w:eastAsia="仿宋"/>
          <w:sz w:val="32"/>
          <w:szCs w:val="32"/>
        </w:rPr>
        <w:t>90.0</w:t>
      </w:r>
      <w:r>
        <w:rPr>
          <w:rFonts w:ascii="仿宋" w:hAnsi="仿宋" w:eastAsia="仿宋" w:cs="仿宋"/>
          <w:sz w:val="32"/>
        </w:rPr>
        <w:t>%，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90%，分值5，得分5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8、可持续影响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14)对无线电电磁环境影响，目标值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大于</w:t>
      </w:r>
      <w:r>
        <w:rPr>
          <w:rFonts w:hint="eastAsia" w:ascii="仿宋" w:hAnsi="仿宋" w:eastAsia="仿宋"/>
          <w:sz w:val="32"/>
          <w:szCs w:val="32"/>
        </w:rPr>
        <w:t>95.0</w:t>
      </w:r>
      <w:r>
        <w:rPr>
          <w:rFonts w:ascii="仿宋" w:hAnsi="仿宋" w:eastAsia="仿宋" w:cs="仿宋"/>
          <w:sz w:val="32"/>
        </w:rPr>
        <w:t>%，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90%，分值5，得分4.74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(三) 满意度指标完成情况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9、服务对象满意度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15)相关部门及群众对无线电安全保障的满意度，目标值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大于</w:t>
      </w:r>
      <w:r>
        <w:rPr>
          <w:rFonts w:hint="eastAsia" w:ascii="仿宋" w:hAnsi="仿宋" w:eastAsia="仿宋"/>
          <w:sz w:val="32"/>
          <w:szCs w:val="32"/>
        </w:rPr>
        <w:t>95.0</w:t>
      </w:r>
      <w:r>
        <w:rPr>
          <w:rFonts w:ascii="仿宋" w:hAnsi="仿宋" w:eastAsia="仿宋" w:cs="仿宋"/>
          <w:sz w:val="32"/>
        </w:rPr>
        <w:t>%，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95%，分值10，得分10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自评得分情况</w:t>
      </w:r>
    </w:p>
    <w:p>
      <w:pPr>
        <w:spacing w:line="620" w:lineRule="exact"/>
        <w:rPr>
          <w:rFonts w:hint="eastAsia" w:ascii="仿宋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本项目绩效自评得分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97.38</w:t>
      </w:r>
      <w:r>
        <w:rPr>
          <w:rFonts w:ascii="仿宋_GB2312" w:hAnsi="仿宋_GB2312" w:eastAsia="仿宋_GB2312" w:cs="仿宋_GB2312"/>
          <w:sz w:val="32"/>
        </w:rPr>
        <w:t>分，等级为A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1"/>
        </w:numPr>
        <w:spacing w:line="240" w:lineRule="auto"/>
        <w:ind w:left="0" w:firstLine="0" w:firstLineChars="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存在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问题</w:t>
      </w:r>
    </w:p>
    <w:p>
      <w:pPr>
        <w:numPr>
          <w:ilvl w:val="0"/>
          <w:numId w:val="3"/>
        </w:numPr>
        <w:spacing w:line="240" w:lineRule="auto"/>
        <w:ind w:left="240" w:leftChars="0" w:firstLine="0" w:firstLineChars="0"/>
        <w:rPr>
          <w:rFonts w:ascii="仿宋" w:hAnsi="仿宋" w:eastAsia="仿宋"/>
          <w:b w:val="0"/>
          <w:bCs/>
          <w:sz w:val="32"/>
          <w:szCs w:val="32"/>
        </w:rPr>
      </w:pPr>
      <w:r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  <w:t>项目立项、实施存在问题。</w:t>
      </w:r>
    </w:p>
    <w:p>
      <w:pPr>
        <w:numPr>
          <w:ilvl w:val="0"/>
          <w:numId w:val="3"/>
        </w:numPr>
        <w:spacing w:line="240" w:lineRule="auto"/>
        <w:ind w:left="240" w:leftChars="0" w:firstLine="0" w:firstLineChars="0"/>
        <w:rPr>
          <w:rFonts w:ascii="仿宋" w:hAnsi="仿宋" w:eastAsia="仿宋"/>
          <w:b w:val="0"/>
          <w:bCs/>
          <w:sz w:val="32"/>
          <w:szCs w:val="32"/>
        </w:rPr>
      </w:pPr>
      <w:r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  <w:t>资金管理使用存在问题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 w:cs="仿宋"/>
          <w:sz w:val="32"/>
        </w:rPr>
        <w:t>. 项目预算编制有待，细化财务核算有待规范。</w:t>
      </w:r>
    </w:p>
    <w:p>
      <w:pPr>
        <w:spacing w:line="240" w:lineRule="auto"/>
        <w:ind w:left="420" w:firstLine="420" w:firstLineChars="0"/>
        <w:rPr>
          <w:rFonts w:ascii="仿宋" w:hAnsi="仿宋" w:eastAsia="仿宋"/>
          <w:b/>
          <w:sz w:val="32"/>
          <w:szCs w:val="32"/>
        </w:rPr>
      </w:pPr>
    </w:p>
    <w:p>
      <w:pPr>
        <w:spacing w:line="240" w:lineRule="auto"/>
        <w:ind w:firstLine="0" w:firstLineChars="0"/>
        <w:rPr>
          <w:rFonts w:hint="eastAsia" w:ascii="仿宋" w:hAnsi="仿宋" w:eastAsia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sz w:val="32"/>
          <w:szCs w:val="32"/>
        </w:rPr>
        <w:t>五、其他需要说明的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问题</w:t>
      </w:r>
    </w:p>
    <w:p>
      <w:pPr>
        <w:spacing w:before="188" w:line="204" w:lineRule="auto"/>
        <w:ind w:firstLine="577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z w:val="30"/>
          <w:szCs w:val="30"/>
        </w:rPr>
        <w:t>（一）后续工作计划。</w:t>
      </w:r>
    </w:p>
    <w:p>
      <w:pPr>
        <w:keepNext w:val="0"/>
        <w:keepLines w:val="0"/>
        <w:widowControl/>
        <w:suppressLineNumbers w:val="0"/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default" w:ascii="仿宋" w:hAnsi="仿宋" w:eastAsia="仿宋" w:cs="仿宋"/>
          <w:spacing w:val="1"/>
          <w:sz w:val="30"/>
          <w:szCs w:val="30"/>
        </w:rPr>
        <w:t>加大对“黑广播”、“伪基站”、无线屏蔽器等非法设台的打击力度，落实航空、铁路等专用频率安全保护长效机制，保护重要业务专用频率使用安全。搭建无线电管理监测与业务智能化平台，开展专项智能化监测节点建设，比对查处非法无线电信号。加大依法监管无线电台站的力度，实现对多业务、多频段的全面管理。进一步搞好公众通信网基站和频率管理，落实公众移动通信基站检测工作。通过运营商报送数据进行抽检，加强运营商基站管理。强调设置无线电发射基站必须办理审批手续，领取电台执照，事前要进行电磁兼容分析。同时加强执法检查，保护合法台站，打击非法设置基站和直放站的行为，努力保障通信顺畅的控制电磁幅射强度。认真处理群众对突出电磁干扰问题的投诉，一经接到投诉，立即派出专业技术人员赶赴现场测试。结合实际情况向市民解难释疑，消除顾虑，保护合法台站的使用。合理使用项目资金，使项目资金发挥最大的效能，程序更加规范透明，分配更加公平公正。</w:t>
      </w:r>
    </w:p>
    <w:p>
      <w:pPr>
        <w:spacing w:before="189" w:line="204" w:lineRule="auto"/>
        <w:ind w:firstLine="577"/>
        <w:rPr>
          <w:rFonts w:ascii="仿宋" w:hAnsi="仿宋" w:eastAsia="仿宋" w:cs="仿宋"/>
          <w:spacing w:val="-1"/>
          <w:sz w:val="30"/>
          <w:szCs w:val="30"/>
        </w:rPr>
      </w:pPr>
      <w:r>
        <w:rPr>
          <w:rFonts w:ascii="仿宋" w:hAnsi="仿宋" w:eastAsia="仿宋" w:cs="仿宋"/>
          <w:spacing w:val="-1"/>
          <w:sz w:val="30"/>
          <w:szCs w:val="30"/>
        </w:rPr>
        <w:t>（二）措施及办法。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 w:cs="仿宋"/>
          <w:sz w:val="32"/>
        </w:rPr>
        <w:t>. 规范财务行为，提高会计基础工作质量。严格执行财经纪律和各项财经政策，自觉接受财政、审计、纪检监察等职能部门的监督，做到有法可依，有章可循，实现管理的规范化、制度化。进一步健全机关各项财务制度，严格财经手续，完善经费使用内部控制制度。</w:t>
      </w:r>
    </w:p>
    <w:p>
      <w:pPr>
        <w:spacing w:line="620" w:lineRule="exact"/>
        <w:ind w:firstLine="880"/>
        <w:jc w:val="center"/>
        <w:rPr>
          <w:rFonts w:ascii="方正小标宋简体" w:eastAsia="方正小标宋简体"/>
          <w:sz w:val="44"/>
          <w:szCs w:val="44"/>
        </w:rPr>
      </w:pPr>
    </w:p>
    <w:p>
      <w:pPr>
        <w:spacing w:line="620" w:lineRule="exact"/>
        <w:ind w:left="590" w:firstLine="643"/>
        <w:rPr>
          <w:rFonts w:ascii="仿宋" w:hAnsi="仿宋" w:eastAsia="仿宋"/>
          <w:b/>
          <w:sz w:val="32"/>
          <w:szCs w:val="32"/>
        </w:rPr>
      </w:pPr>
    </w:p>
    <w:p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Helvetica Neue">
    <w:altName w:val="Corbel"/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altName w:val="宋体"/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方正小标宋简体">
    <w:altName w:val="微软雅黑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16" w:usb3="00000000" w:csb0="00040001" w:csb1="00000000"/>
  </w:font>
  <w:font w:name="PingFang SC">
    <w:altName w:val="宋体"/>
    <w:panose1 w:val="020B0400000000000000"/>
    <w:charset w:val="86"/>
    <w:family w:val="auto"/>
    <w:pitch w:val="default"/>
    <w:sig w:usb0="00000000" w:usb1="00000000" w:usb2="00000000" w:usb3="00000000" w:csb0="0016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汉仪中黑KW">
    <w:altName w:val="黑体"/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Kingsoft Sign">
    <w:altName w:val="Segoe Print"/>
    <w:panose1 w:val="05050102010706020507"/>
    <w:charset w:val="00"/>
    <w:family w:val="auto"/>
    <w:pitch w:val="default"/>
    <w:sig w:usb0="00000000" w:usb1="00000000" w:usb2="00000000" w:usb3="00000000" w:csb0="00000000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altName w:val="宋体"/>
    <w:panose1 w:val="020B0400000000000000"/>
    <w:charset w:val="86"/>
    <w:family w:val="auto"/>
    <w:pitch w:val="default"/>
    <w:sig w:usb0="00000000" w:usb1="00000000" w:usb2="00000000" w:usb3="00000000" w:csb0="0016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汉仪旗黑">
    <w:altName w:val="黑体"/>
    <w:panose1 w:val="00020600040101010101"/>
    <w:charset w:val="86"/>
    <w:family w:val="auto"/>
    <w:pitch w:val="default"/>
    <w:sig w:usb0="00000000" w:usb1="00000000" w:usb2="00000000" w:usb3="00000000" w:csb0="00060000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94BB1F1"/>
    <w:multiLevelType w:val="multilevel"/>
    <w:tmpl w:val="994BB1F1"/>
    <w:lvl w:ilvl="0" w:tentative="0">
      <w:start w:val="1"/>
      <w:numFmt w:val="japaneseCounting"/>
      <w:lvlText w:val="%1、"/>
      <w:lvlJc w:val="left"/>
      <w:pPr>
        <w:ind w:left="131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30" w:hanging="420"/>
      </w:pPr>
    </w:lvl>
    <w:lvl w:ilvl="2" w:tentative="0">
      <w:start w:val="1"/>
      <w:numFmt w:val="lowerRoman"/>
      <w:lvlText w:val="%3."/>
      <w:lvlJc w:val="right"/>
      <w:pPr>
        <w:ind w:left="1850" w:hanging="420"/>
      </w:pPr>
    </w:lvl>
    <w:lvl w:ilvl="3" w:tentative="0">
      <w:start w:val="1"/>
      <w:numFmt w:val="decimal"/>
      <w:lvlText w:val="%4."/>
      <w:lvlJc w:val="left"/>
      <w:pPr>
        <w:ind w:left="2270" w:hanging="420"/>
      </w:pPr>
    </w:lvl>
    <w:lvl w:ilvl="4" w:tentative="0">
      <w:start w:val="1"/>
      <w:numFmt w:val="lowerLetter"/>
      <w:lvlText w:val="%5)"/>
      <w:lvlJc w:val="left"/>
      <w:pPr>
        <w:ind w:left="2690" w:hanging="420"/>
      </w:pPr>
    </w:lvl>
    <w:lvl w:ilvl="5" w:tentative="0">
      <w:start w:val="1"/>
      <w:numFmt w:val="lowerRoman"/>
      <w:lvlText w:val="%6."/>
      <w:lvlJc w:val="right"/>
      <w:pPr>
        <w:ind w:left="3110" w:hanging="420"/>
      </w:pPr>
    </w:lvl>
    <w:lvl w:ilvl="6" w:tentative="0">
      <w:start w:val="1"/>
      <w:numFmt w:val="decimal"/>
      <w:lvlText w:val="%7."/>
      <w:lvlJc w:val="left"/>
      <w:pPr>
        <w:ind w:left="3530" w:hanging="420"/>
      </w:pPr>
    </w:lvl>
    <w:lvl w:ilvl="7" w:tentative="0">
      <w:start w:val="1"/>
      <w:numFmt w:val="lowerLetter"/>
      <w:lvlText w:val="%8)"/>
      <w:lvlJc w:val="left"/>
      <w:pPr>
        <w:ind w:left="3950" w:hanging="420"/>
      </w:pPr>
    </w:lvl>
    <w:lvl w:ilvl="8" w:tentative="0">
      <w:start w:val="1"/>
      <w:numFmt w:val="lowerRoman"/>
      <w:lvlText w:val="%9."/>
      <w:lvlJc w:val="right"/>
      <w:pPr>
        <w:ind w:left="4370" w:hanging="420"/>
      </w:pPr>
    </w:lvl>
  </w:abstractNum>
  <w:abstractNum w:abstractNumId="1">
    <w:nsid w:val="ADA24D32"/>
    <w:multiLevelType w:val="singleLevel"/>
    <w:tmpl w:val="ADA24D32"/>
    <w:lvl w:ilvl="0" w:tentative="0">
      <w:start w:val="1"/>
      <w:numFmt w:val="chineseCounting"/>
      <w:suff w:val="nothing"/>
      <w:lvlText w:val="（%1）"/>
      <w:lvlJc w:val="left"/>
      <w:pPr>
        <w:ind w:left="240"/>
      </w:pPr>
      <w:rPr>
        <w:rFonts w:hint="eastAsia"/>
      </w:rPr>
    </w:lvl>
  </w:abstractNum>
  <w:abstractNum w:abstractNumId="2">
    <w:nsid w:val="FBB8592C"/>
    <w:multiLevelType w:val="singleLevel"/>
    <w:tmpl w:val="FBB8592C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BlNWZjMDEyNDk5YWNlYjk2OTJiNzE2OGRmMGY2NmYifQ=="/>
  </w:docVars>
  <w:rsids>
    <w:rsidRoot w:val="2B6F4C9D"/>
    <w:rsid w:val="000A297C"/>
    <w:rsid w:val="004C2775"/>
    <w:rsid w:val="004D77F5"/>
    <w:rsid w:val="00756160"/>
    <w:rsid w:val="00852652"/>
    <w:rsid w:val="00867BA5"/>
    <w:rsid w:val="0096249A"/>
    <w:rsid w:val="00AF50B8"/>
    <w:rsid w:val="00B12946"/>
    <w:rsid w:val="00CA048F"/>
    <w:rsid w:val="00E024D2"/>
    <w:rsid w:val="00E54742"/>
    <w:rsid w:val="01614212"/>
    <w:rsid w:val="026752A9"/>
    <w:rsid w:val="026942C3"/>
    <w:rsid w:val="03C2244D"/>
    <w:rsid w:val="049C7DEF"/>
    <w:rsid w:val="04A96372"/>
    <w:rsid w:val="04C2697B"/>
    <w:rsid w:val="05156224"/>
    <w:rsid w:val="069550DB"/>
    <w:rsid w:val="06AB7BA4"/>
    <w:rsid w:val="07CB6A82"/>
    <w:rsid w:val="084D2748"/>
    <w:rsid w:val="0C062F64"/>
    <w:rsid w:val="0F0A7121"/>
    <w:rsid w:val="0F18115A"/>
    <w:rsid w:val="0F4B3357"/>
    <w:rsid w:val="0F6F185A"/>
    <w:rsid w:val="0FDC5FFD"/>
    <w:rsid w:val="136923D4"/>
    <w:rsid w:val="15BB6F18"/>
    <w:rsid w:val="1891657A"/>
    <w:rsid w:val="18ED55F2"/>
    <w:rsid w:val="197864DF"/>
    <w:rsid w:val="19A02C16"/>
    <w:rsid w:val="1A674D68"/>
    <w:rsid w:val="1A821FE7"/>
    <w:rsid w:val="1AC32CC4"/>
    <w:rsid w:val="1B9331E7"/>
    <w:rsid w:val="1E1D0F5A"/>
    <w:rsid w:val="1E674D08"/>
    <w:rsid w:val="1EAB64DA"/>
    <w:rsid w:val="20347893"/>
    <w:rsid w:val="20752E9C"/>
    <w:rsid w:val="20ED716B"/>
    <w:rsid w:val="21420662"/>
    <w:rsid w:val="2190427C"/>
    <w:rsid w:val="23CF2426"/>
    <w:rsid w:val="23EF6F51"/>
    <w:rsid w:val="258855E3"/>
    <w:rsid w:val="25EE7947"/>
    <w:rsid w:val="263403FC"/>
    <w:rsid w:val="273E5672"/>
    <w:rsid w:val="288E0795"/>
    <w:rsid w:val="291D29FD"/>
    <w:rsid w:val="2B223F6D"/>
    <w:rsid w:val="2B6F4C9D"/>
    <w:rsid w:val="2C5E2E59"/>
    <w:rsid w:val="2DA94743"/>
    <w:rsid w:val="2DE23A3A"/>
    <w:rsid w:val="2E8E1287"/>
    <w:rsid w:val="300E3D77"/>
    <w:rsid w:val="30533016"/>
    <w:rsid w:val="30B80E03"/>
    <w:rsid w:val="33255290"/>
    <w:rsid w:val="33D877D8"/>
    <w:rsid w:val="35AE68A5"/>
    <w:rsid w:val="36CD16A7"/>
    <w:rsid w:val="38E64707"/>
    <w:rsid w:val="3A8859B9"/>
    <w:rsid w:val="3DE61665"/>
    <w:rsid w:val="3E1153AE"/>
    <w:rsid w:val="3E516972"/>
    <w:rsid w:val="3EE47779"/>
    <w:rsid w:val="40B53B29"/>
    <w:rsid w:val="43CB6518"/>
    <w:rsid w:val="43D60DED"/>
    <w:rsid w:val="446139D3"/>
    <w:rsid w:val="44FE14DD"/>
    <w:rsid w:val="455E522A"/>
    <w:rsid w:val="49E56F9C"/>
    <w:rsid w:val="4A926FD7"/>
    <w:rsid w:val="4BC33F32"/>
    <w:rsid w:val="4CEC0119"/>
    <w:rsid w:val="4DD15688"/>
    <w:rsid w:val="4F070E89"/>
    <w:rsid w:val="4F374648"/>
    <w:rsid w:val="4F4451D2"/>
    <w:rsid w:val="51237888"/>
    <w:rsid w:val="51BA42A7"/>
    <w:rsid w:val="520F6E89"/>
    <w:rsid w:val="53203621"/>
    <w:rsid w:val="54DA00D3"/>
    <w:rsid w:val="554E0C20"/>
    <w:rsid w:val="568F07C7"/>
    <w:rsid w:val="57252998"/>
    <w:rsid w:val="59B56326"/>
    <w:rsid w:val="5A0C4685"/>
    <w:rsid w:val="5A553285"/>
    <w:rsid w:val="5AB43B01"/>
    <w:rsid w:val="5D55237F"/>
    <w:rsid w:val="5F12091C"/>
    <w:rsid w:val="5FA13DC1"/>
    <w:rsid w:val="5FB20796"/>
    <w:rsid w:val="5FC44E2D"/>
    <w:rsid w:val="5FD626AD"/>
    <w:rsid w:val="604010EC"/>
    <w:rsid w:val="610E05D3"/>
    <w:rsid w:val="62215294"/>
    <w:rsid w:val="65FC618C"/>
    <w:rsid w:val="660310CC"/>
    <w:rsid w:val="66161B6A"/>
    <w:rsid w:val="66984919"/>
    <w:rsid w:val="66F07E69"/>
    <w:rsid w:val="671B478E"/>
    <w:rsid w:val="676F702D"/>
    <w:rsid w:val="6A582252"/>
    <w:rsid w:val="6AD82D16"/>
    <w:rsid w:val="6B464D38"/>
    <w:rsid w:val="6BDF3DCF"/>
    <w:rsid w:val="6C5075F1"/>
    <w:rsid w:val="6C670BB6"/>
    <w:rsid w:val="6DD40FF8"/>
    <w:rsid w:val="71565F3F"/>
    <w:rsid w:val="72502DE7"/>
    <w:rsid w:val="74114A65"/>
    <w:rsid w:val="74DC7A51"/>
    <w:rsid w:val="753554DD"/>
    <w:rsid w:val="75A24B0F"/>
    <w:rsid w:val="76AB03E2"/>
    <w:rsid w:val="76D1210E"/>
    <w:rsid w:val="77AC22DD"/>
    <w:rsid w:val="77B83789"/>
    <w:rsid w:val="78691D8F"/>
    <w:rsid w:val="78F52A46"/>
    <w:rsid w:val="793C6850"/>
    <w:rsid w:val="7ABC43C8"/>
    <w:rsid w:val="7CA67A3C"/>
    <w:rsid w:val="7DAE3E8B"/>
    <w:rsid w:val="7E3560EA"/>
    <w:rsid w:val="7FB6D223"/>
    <w:rsid w:val="7FF77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宋体" w:hAnsi="宋体" w:eastAsia="宋体" w:cs="Times New Roman"/>
      <w:kern w:val="2"/>
      <w:sz w:val="24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4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customStyle="1" w:styleId="7">
    <w:name w:val="页眉 字符"/>
    <w:basedOn w:val="5"/>
    <w:link w:val="3"/>
    <w:qFormat/>
    <w:uiPriority w:val="0"/>
    <w:rPr>
      <w:rFonts w:ascii="宋体" w:hAnsi="宋体"/>
      <w:kern w:val="2"/>
      <w:sz w:val="18"/>
      <w:szCs w:val="18"/>
    </w:rPr>
  </w:style>
  <w:style w:type="character" w:customStyle="1" w:styleId="8">
    <w:name w:val="页脚 字符"/>
    <w:basedOn w:val="5"/>
    <w:link w:val="2"/>
    <w:qFormat/>
    <w:uiPriority w:val="0"/>
    <w:rPr>
      <w:rFonts w:ascii="宋体" w:hAnsi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351</Words>
  <Characters>1183</Characters>
  <Lines>16</Lines>
  <Paragraphs>4</Paragraphs>
  <ScaleCrop>false</ScaleCrop>
  <LinksUpToDate>false</LinksUpToDate>
  <CharactersWithSpaces>1190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2021-01-18T15:13:00Z</dcterms:created>
  <dc:creator>Administrator</dc:creator>
  <cp:lastModifiedBy>Administrator</cp:lastModifiedBy>
  <dcterms:modified xsi:type="dcterms:W3CDTF">2024-03-07T08:11:17Z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  <property fmtid="{D5CDD505-2E9C-101B-9397-08002B2CF9AE}" pid="3" name="ICV">
    <vt:lpwstr>2CF270DEABCC4AC0B2D61ED60F3256AC</vt:lpwstr>
  </property>
</Properties>
</file>