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0" w:firstLineChars="0"/>
        <w:jc w:val="both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ind w:left="0" w:leftChars="0" w:firstLine="0" w:firstLineChars="0"/>
        <w:jc w:val="both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ind w:left="0" w:leftChars="0" w:firstLine="0" w:firstLineChars="0"/>
        <w:jc w:val="both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52"/>
          <w:szCs w:val="52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52"/>
          <w:szCs w:val="52"/>
          <w:u w:val="none"/>
          <w:lang w:val="en-US" w:eastAsia="zh-Hans" w:bidi="ar"/>
        </w:rPr>
        <w:t>项目</w:t>
      </w: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52"/>
          <w:szCs w:val="52"/>
          <w:u w:val="none"/>
          <w:lang w:val="en-US" w:eastAsia="zh-CN" w:bidi="ar"/>
        </w:rPr>
        <w:t>绩效自评报告</w:t>
      </w:r>
    </w:p>
    <w:p>
      <w:pPr>
        <w:pStyle w:val="4"/>
        <w:keepNext w:val="0"/>
        <w:keepLines w:val="0"/>
        <w:widowControl/>
        <w:suppressLineNumbers w:val="0"/>
        <w:shd w:val="clear" w:fill="FFFFFF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t>（</w:t>
      </w:r>
      <w:r>
        <w:rPr>
          <w:rFonts w:hint="eastAsia" w:ascii="方正小标宋简体" w:eastAsia="方正小标宋简体"/>
          <w:sz w:val="44"/>
          <w:szCs w:val="44"/>
        </w:rPr>
        <w:t>2023</w:t>
      </w: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t>年度）</w:t>
      </w: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both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both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both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ind w:firstLine="1606" w:firstLineChars="500"/>
        <w:rPr>
          <w:rFonts w:hint="eastAsia" w:ascii="仿宋" w:hAnsi="仿宋" w:eastAsia="仿宋" w:cs="仿宋"/>
          <w:b/>
          <w:bCs/>
          <w:kern w:val="2"/>
          <w:sz w:val="32"/>
          <w:szCs w:val="32"/>
          <w:vertAlign w:val="baseli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vertAlign w:val="baseline"/>
          <w:lang w:val="en-US" w:eastAsia="zh-CN" w:bidi="ar-SA"/>
        </w:rPr>
        <w:t>项目名称：</w:t>
      </w:r>
      <w:r>
        <w:rPr>
          <w:rFonts w:ascii="仿宋" w:hAnsi="仿宋" w:cs="仿宋" w:eastAsia="仿宋"/>
          <w:b w:val="true"/>
          <w:sz w:val="32"/>
        </w:rPr>
        <w:t>无线电监管</w:t>
      </w:r>
    </w:p>
    <w:p>
      <w:pPr>
        <w:ind w:firstLine="1606" w:firstLineChars="500"/>
        <w:rPr>
          <w:rFonts w:hint="eastAsia" w:ascii="仿宋" w:hAnsi="仿宋" w:eastAsia="仿宋" w:cs="仿宋"/>
          <w:b/>
          <w:bCs/>
          <w:kern w:val="2"/>
          <w:sz w:val="32"/>
          <w:szCs w:val="32"/>
          <w:vertAlign w:val="baseli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vertAlign w:val="baseline"/>
          <w:lang w:val="en-US" w:eastAsia="zh-CN" w:bidi="ar-SA"/>
        </w:rPr>
        <w:t>主管部门：</w:t>
      </w:r>
      <w:r>
        <w:rPr>
          <w:rFonts w:ascii="仿宋" w:hAnsi="仿宋" w:cs="仿宋" w:eastAsia="仿宋"/>
          <w:b w:val="true"/>
          <w:sz w:val="32"/>
        </w:rPr>
        <w:t>内蒙古自治区工业和信息化厅部门</w:t>
      </w:r>
    </w:p>
    <w:p>
      <w:pPr>
        <w:ind w:firstLine="1606" w:firstLineChars="500"/>
        <w:rPr>
          <w:rFonts w:hint="eastAsia" w:ascii="仿宋" w:hAnsi="仿宋" w:eastAsia="仿宋" w:cs="仿宋"/>
          <w:b/>
          <w:bCs/>
          <w:kern w:val="2"/>
          <w:sz w:val="32"/>
          <w:szCs w:val="32"/>
          <w:vertAlign w:val="baseli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vertAlign w:val="baseline"/>
          <w:lang w:val="en-US" w:eastAsia="zh-CN" w:bidi="ar-SA"/>
        </w:rPr>
        <w:t>年   月   日</w:t>
      </w:r>
    </w:p>
    <w:p>
      <w:pPr>
        <w:ind w:firstLine="1606" w:firstLineChars="500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vertAlign w:val="baseline"/>
          <w:lang w:val="en-US" w:eastAsia="zh-CN" w:bidi="ar-SA"/>
        </w:rPr>
        <w:t>（盖章）</w:t>
      </w: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spacing w:line="620" w:lineRule="exact"/>
        <w:ind w:firstLine="880"/>
        <w:jc w:val="center"/>
        <w:rPr>
          <w:rFonts w:hint="eastAsia" w:ascii="方正小标宋简体" w:eastAsia="方正小标宋简体"/>
          <w:sz w:val="44"/>
          <w:szCs w:val="44"/>
        </w:rPr>
      </w:pPr>
    </w:p>
    <w:p>
      <w:pPr>
        <w:spacing w:line="620" w:lineRule="exact"/>
        <w:ind w:firstLine="88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2023</w:t>
      </w:r>
      <w:bookmarkStart w:id="0" w:name="_GoBack"/>
      <w:bookmarkEnd w:id="0"/>
      <w:r>
        <w:rPr>
          <w:rFonts w:hint="eastAsia" w:ascii="方正小标宋简体" w:eastAsia="方正小标宋简体"/>
          <w:sz w:val="44"/>
          <w:szCs w:val="44"/>
        </w:rPr>
        <w:t>年</w:t>
      </w:r>
      <w:r>
        <w:rPr>
          <w:rFonts w:ascii="方正小标宋简体" w:hAnsi="方正小标宋简体" w:cs="方正小标宋简体" w:eastAsia="方正小标宋简体"/>
          <w:sz w:val="44"/>
        </w:rPr>
        <w:t>无线电监管</w:t>
      </w:r>
      <w:r>
        <w:rPr>
          <w:rFonts w:ascii="方正小标宋简体" w:hAnsi="方正小标宋简体" w:cs="方正小标宋简体" w:eastAsia="方正小标宋简体"/>
          <w:sz w:val="44"/>
        </w:rPr>
        <w:t>项目绩效自评报告</w:t>
      </w:r>
    </w:p>
    <w:p>
      <w:pPr>
        <w:numPr>
          <w:ilvl w:val="0"/>
          <w:numId w:val="1"/>
        </w:numPr>
        <w:spacing w:line="240" w:lineRule="auto"/>
        <w:ind w:left="0" w:firstLine="0" w:firstLineChars="0"/>
        <w:jc w:val="left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项目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基本</w:t>
      </w:r>
      <w:r>
        <w:rPr>
          <w:rFonts w:hint="eastAsia" w:ascii="仿宋" w:hAnsi="仿宋" w:eastAsia="仿宋"/>
          <w:b/>
          <w:sz w:val="32"/>
          <w:szCs w:val="32"/>
        </w:rPr>
        <w:t>情况</w:t>
      </w:r>
    </w:p>
    <w:p>
      <w:pPr>
        <w:spacing w:before="188" w:line="204" w:lineRule="auto"/>
        <w:ind w:firstLine="577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 w:cs="仿宋"/>
          <w:spacing w:val="3"/>
          <w:sz w:val="30"/>
          <w:szCs w:val="30"/>
        </w:rPr>
        <w:t>（一）项目基本情况简介。</w:t>
      </w:r>
    </w:p>
    <w:p>
      <w:pPr>
        <w:spacing w:line="620" w:lineRule="exact"/>
        <w:ind w:firstLine="990" w:firstLineChars="330"/>
        <w:rPr>
          <w:rFonts w:hint="eastAsia" w:ascii="仿宋"/>
          <w:sz w:val="32"/>
        </w:rPr>
      </w:pPr>
      <w:r>
        <w:rPr>
          <w:rFonts w:hint="eastAsia" w:ascii="仿宋"/>
          <w:sz w:val="30"/>
          <w:szCs w:val="30"/>
        </w:rPr>
        <w:t xml:space="preserve">1.加强无线电频率台站科学管理，进行了频率使用情况专项检查。2、加强无线电监测检测，做好技术支撑。3、加大无线电管理行政执法力度，切实履行岗位职责。4、做好无线电安全保障，服务社会经济建设。5、加强和改善自身建设，不断提高无线电管理工作水平　</w:t>
      </w:r>
    </w:p>
    <w:p>
      <w:pPr>
        <w:numPr>
          <w:ilvl w:val="0"/>
          <w:numId w:val="2"/>
        </w:numPr>
        <w:spacing w:before="188" w:line="204" w:lineRule="auto"/>
        <w:ind w:firstLine="577"/>
        <w:rPr>
          <w:rFonts w:ascii="仿宋" w:hAnsi="仿宋" w:eastAsia="仿宋" w:cs="仿宋"/>
          <w:spacing w:val="8"/>
          <w:sz w:val="30"/>
          <w:szCs w:val="30"/>
        </w:rPr>
      </w:pPr>
      <w:r>
        <w:rPr>
          <w:rFonts w:ascii="仿宋" w:hAnsi="仿宋" w:eastAsia="仿宋" w:cs="仿宋"/>
          <w:spacing w:val="8"/>
          <w:sz w:val="30"/>
          <w:szCs w:val="30"/>
        </w:rPr>
        <w:t>绩效目标设定及</w:t>
      </w:r>
      <w:r>
        <w:rPr>
          <w:rFonts w:hint="eastAsia" w:ascii="仿宋" w:hAnsi="仿宋" w:eastAsia="仿宋" w:cs="仿宋"/>
          <w:spacing w:val="8"/>
          <w:sz w:val="30"/>
          <w:szCs w:val="30"/>
          <w:lang w:val="en-US" w:eastAsia="zh-CN"/>
        </w:rPr>
        <w:t>指标</w:t>
      </w:r>
      <w:r>
        <w:rPr>
          <w:rFonts w:ascii="仿宋" w:hAnsi="仿宋" w:eastAsia="仿宋" w:cs="仿宋"/>
          <w:spacing w:val="8"/>
          <w:sz w:val="30"/>
          <w:szCs w:val="30"/>
        </w:rPr>
        <w:t>完成情况。</w:t>
      </w:r>
    </w:p>
    <w:p>
      <w:pPr>
        <w:numPr>
          <w:ilvl w:val="0"/>
          <w:numId w:val="0"/>
        </w:numPr>
        <w:spacing w:before="188" w:line="204" w:lineRule="auto"/>
        <w:ind w:left="420" w:leftChars="0" w:firstLine="420" w:firstLineChars="0"/>
        <w:rPr>
          <w:rFonts w:hint="eastAsia" w:ascii="仿宋" w:hAnsi="仿宋" w:eastAsia="仿宋" w:cs="仿宋"/>
          <w:color w:val="auto"/>
          <w:spacing w:val="8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8"/>
          <w:sz w:val="30"/>
          <w:szCs w:val="30"/>
          <w:lang w:val="en-US" w:eastAsia="zh-CN"/>
        </w:rPr>
        <w:t>预期目标：</w:t>
      </w:r>
      <w:r>
        <w:rPr>
          <w:rFonts w:ascii="仿宋" w:hAnsi="仿宋" w:cs="仿宋" w:eastAsia="仿宋"/>
          <w:color w:val="auto"/>
          <w:spacing w:val="8"/>
          <w:sz w:val="30"/>
        </w:rPr>
        <w:t xml:space="preserve">1.加强无线电频率台站科学管理,进行了频率使用情况专项检查;2、加强无线电监测检测，做好技术支撑;3、加大无线电管理行政执法力度，切实履行岗位职责;4、做好无线电安全保障，服务社会经济建设;5、加强和改善自身建设，不断提高无线电管理工作水平　</w:t>
      </w:r>
    </w:p>
    <w:p>
      <w:pPr>
        <w:numPr>
          <w:ilvl w:val="0"/>
          <w:numId w:val="0"/>
        </w:numPr>
        <w:spacing w:before="188" w:line="204" w:lineRule="auto"/>
        <w:ind w:left="420" w:leftChars="0" w:firstLine="420" w:firstLineChars="0"/>
        <w:rPr>
          <w:rFonts w:hint="default" w:ascii="仿宋" w:hAnsi="仿宋" w:eastAsia="仿宋" w:cs="仿宋"/>
          <w:color w:val="auto"/>
          <w:spacing w:val="8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8"/>
          <w:sz w:val="30"/>
          <w:szCs w:val="30"/>
          <w:lang w:val="en-US" w:eastAsia="zh-CN"/>
        </w:rPr>
        <w:t>绩效目标实际完成情况：</w:t>
      </w:r>
      <w:r>
        <w:rPr>
          <w:rFonts w:ascii="仿宋" w:hAnsi="仿宋" w:cs="仿宋" w:eastAsia="仿宋"/>
          <w:color w:val="auto"/>
          <w:spacing w:val="8"/>
          <w:sz w:val="30"/>
        </w:rPr>
        <w:t xml:space="preserve">1.加强无线电频率台站科学管理,进行了频率使用情况专项检查;2、加强无线电监测检测，做好技术支撑;3、加大无线电管理行政执法力度，切实履行岗位职责;4、做好无线电安全保障，服务社会经济建设;5、加强和改善自身建设，不断提高无线电管理工作水平　</w:t>
      </w:r>
    </w:p>
    <w:p>
      <w:pPr>
        <w:spacing w:line="620" w:lineRule="exact"/>
        <w:ind w:firstLine="640"/>
        <w:rPr>
          <w:rFonts w:hint="eastAsia" w:ascii="仿宋"/>
          <w:sz w:val="32"/>
        </w:rPr>
      </w:pPr>
    </w:p>
    <w:p>
      <w:pPr>
        <w:numPr>
          <w:ilvl w:val="0"/>
          <w:numId w:val="1"/>
        </w:numPr>
        <w:spacing w:line="240" w:lineRule="auto"/>
        <w:ind w:left="0" w:firstLine="0" w:firstLineChars="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绩效自评工作</w:t>
      </w:r>
      <w:r>
        <w:rPr>
          <w:rFonts w:hint="eastAsia" w:ascii="仿宋" w:hAnsi="仿宋" w:eastAsia="仿宋"/>
          <w:b/>
          <w:sz w:val="32"/>
          <w:szCs w:val="32"/>
        </w:rPr>
        <w:t>情况</w:t>
      </w:r>
    </w:p>
    <w:p>
      <w:pPr>
        <w:numPr>
          <w:ilvl w:val="0"/>
          <w:numId w:val="3"/>
        </w:numPr>
        <w:spacing w:before="188" w:line="204" w:lineRule="auto"/>
        <w:ind w:firstLine="577"/>
        <w:rPr>
          <w:rFonts w:ascii="仿宋" w:hAnsi="仿宋" w:eastAsia="仿宋" w:cs="仿宋"/>
          <w:spacing w:val="1"/>
          <w:sz w:val="30"/>
          <w:szCs w:val="30"/>
        </w:rPr>
      </w:pPr>
      <w:r>
        <w:rPr>
          <w:rFonts w:ascii="仿宋" w:hAnsi="仿宋" w:eastAsia="仿宋" w:cs="仿宋"/>
          <w:spacing w:val="1"/>
          <w:sz w:val="30"/>
          <w:szCs w:val="30"/>
        </w:rPr>
        <w:t>绩效自评目的。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仿宋" w:hAnsi="仿宋" w:eastAsia="仿宋" w:cs="仿宋"/>
          <w:spacing w:val="1"/>
          <w:sz w:val="30"/>
          <w:szCs w:val="30"/>
        </w:rPr>
      </w:pPr>
      <w:r>
        <w:rPr>
          <w:rFonts w:hint="default" w:ascii="仿宋" w:hAnsi="仿宋" w:eastAsia="仿宋" w:cs="仿宋"/>
          <w:spacing w:val="1"/>
          <w:sz w:val="30"/>
          <w:szCs w:val="30"/>
        </w:rPr>
        <w:t xml:space="preserve">加强预算绩效管理，强化支出责任，建立科学、合理的财政支出绩效评价管理体系，提高财政资金使用效益。对财政资金的经济性、效率性和效益性进行客观、公正的评价。经济性：以最少的财政资金支出达到预期预算目标或任务实现。效率性：指对投入与产出之间的关系，有无达到成本效益最大化。效益性：是指既定的目标实现程度或一项活动的预期影响与实际影响。强调的市预期目标和实际完成程度之间的关系                                                                                            </w:t>
      </w:r>
    </w:p>
    <w:p>
      <w:pPr>
        <w:spacing w:before="189" w:line="204" w:lineRule="auto"/>
        <w:ind w:firstLine="577"/>
        <w:rPr>
          <w:rFonts w:ascii="仿宋" w:hAnsi="仿宋" w:eastAsia="仿宋" w:cs="仿宋"/>
          <w:spacing w:val="4"/>
          <w:sz w:val="30"/>
          <w:szCs w:val="30"/>
        </w:rPr>
      </w:pPr>
      <w:r>
        <w:rPr>
          <w:rFonts w:ascii="仿宋" w:hAnsi="仿宋" w:eastAsia="仿宋" w:cs="仿宋"/>
          <w:spacing w:val="4"/>
          <w:sz w:val="30"/>
          <w:szCs w:val="30"/>
        </w:rPr>
        <w:t>（二）项目资金投入情况。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9" w:line="312" w:lineRule="auto"/>
        <w:ind w:left="420" w:leftChars="0" w:firstLine="420" w:firstLineChars="0"/>
        <w:textAlignment w:val="baseline"/>
        <w:rPr>
          <w:rFonts w:hint="eastAsia" w:ascii="仿宋" w:hAnsi="仿宋" w:eastAsia="仿宋" w:cs="仿宋"/>
          <w:color w:val="auto"/>
          <w:spacing w:val="4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4"/>
          <w:sz w:val="30"/>
          <w:szCs w:val="30"/>
          <w:lang w:val="en-US" w:eastAsia="zh-CN"/>
        </w:rPr>
        <w:t>本年度资金年初预算数</w:t>
      </w:r>
      <w:r>
        <w:rPr>
          <w:rFonts w:ascii="仿宋" w:hAnsi="仿宋" w:cs="仿宋" w:eastAsia="仿宋"/>
          <w:color w:val="auto"/>
          <w:spacing w:val="4"/>
          <w:sz w:val="30"/>
        </w:rPr>
        <w:t>2.45</w:t>
      </w:r>
      <w:r>
        <w:rPr>
          <w:rFonts w:ascii="仿宋" w:hAnsi="仿宋" w:cs="仿宋" w:eastAsia="仿宋"/>
          <w:color w:val="auto"/>
          <w:spacing w:val="4"/>
          <w:sz w:val="30"/>
        </w:rPr>
        <w:t>万元，其中：财政拨款</w:t>
      </w:r>
      <w:r>
        <w:rPr>
          <w:rFonts w:ascii="仿宋" w:hAnsi="仿宋" w:cs="仿宋" w:eastAsia="仿宋"/>
          <w:color w:val="auto"/>
          <w:spacing w:val="4"/>
          <w:sz w:val="30"/>
        </w:rPr>
        <w:t>2.45</w:t>
      </w:r>
      <w:r>
        <w:rPr>
          <w:rFonts w:ascii="仿宋" w:hAnsi="仿宋" w:cs="仿宋" w:eastAsia="仿宋"/>
          <w:color w:val="auto"/>
          <w:spacing w:val="4"/>
          <w:sz w:val="30"/>
        </w:rPr>
        <w:t>万元，其他资金</w:t>
      </w:r>
      <w:r>
        <w:rPr>
          <w:rFonts w:ascii="仿宋" w:hAnsi="仿宋" w:cs="仿宋" w:eastAsia="仿宋"/>
          <w:color w:val="auto"/>
          <w:spacing w:val="4"/>
          <w:sz w:val="30"/>
        </w:rPr>
        <w:t>0.00</w:t>
      </w:r>
      <w:r>
        <w:rPr>
          <w:rFonts w:ascii="仿宋" w:hAnsi="仿宋" w:cs="仿宋" w:eastAsia="仿宋"/>
          <w:color w:val="auto"/>
          <w:spacing w:val="4"/>
          <w:sz w:val="30"/>
        </w:rPr>
        <w:t>万元。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9" w:line="312" w:lineRule="auto"/>
        <w:ind w:left="420" w:leftChars="0" w:firstLine="420" w:firstLineChars="0"/>
        <w:textAlignment w:val="baseline"/>
        <w:rPr>
          <w:rFonts w:hint="default" w:ascii="仿宋" w:hAnsi="仿宋" w:eastAsia="仿宋" w:cs="仿宋"/>
          <w:color w:val="auto"/>
          <w:spacing w:val="4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4"/>
          <w:sz w:val="30"/>
          <w:szCs w:val="30"/>
          <w:lang w:val="en-US" w:eastAsia="zh-CN"/>
        </w:rPr>
        <w:t>本年度资金全年预算数</w:t>
      </w:r>
      <w:r>
        <w:rPr>
          <w:rFonts w:ascii="仿宋" w:hAnsi="仿宋" w:cs="仿宋" w:eastAsia="仿宋"/>
          <w:color w:val="auto"/>
          <w:spacing w:val="4"/>
          <w:sz w:val="30"/>
        </w:rPr>
        <w:t>2.45</w:t>
      </w:r>
      <w:r>
        <w:rPr>
          <w:rFonts w:ascii="仿宋" w:hAnsi="仿宋" w:cs="仿宋" w:eastAsia="仿宋"/>
          <w:color w:val="auto"/>
          <w:spacing w:val="4"/>
          <w:sz w:val="30"/>
        </w:rPr>
        <w:t>万元，其中：财政拨款</w:t>
      </w:r>
      <w:r>
        <w:rPr>
          <w:rFonts w:ascii="仿宋" w:hAnsi="仿宋" w:cs="仿宋" w:eastAsia="仿宋"/>
          <w:color w:val="auto"/>
          <w:spacing w:val="4"/>
          <w:sz w:val="30"/>
        </w:rPr>
        <w:t>2.45</w:t>
      </w:r>
      <w:r>
        <w:rPr>
          <w:rFonts w:ascii="仿宋" w:hAnsi="仿宋" w:cs="仿宋" w:eastAsia="仿宋"/>
          <w:color w:val="auto"/>
          <w:spacing w:val="4"/>
          <w:sz w:val="30"/>
        </w:rPr>
        <w:t>万元，其他资金</w:t>
      </w:r>
      <w:r>
        <w:rPr>
          <w:rFonts w:ascii="仿宋" w:hAnsi="仿宋" w:cs="仿宋" w:eastAsia="仿宋"/>
          <w:color w:val="auto"/>
          <w:spacing w:val="4"/>
          <w:sz w:val="30"/>
        </w:rPr>
        <w:t>0</w:t>
      </w:r>
      <w:r>
        <w:rPr>
          <w:rFonts w:ascii="仿宋" w:hAnsi="仿宋" w:cs="仿宋" w:eastAsia="仿宋"/>
          <w:color w:val="auto"/>
          <w:spacing w:val="4"/>
          <w:sz w:val="30"/>
        </w:rPr>
        <w:t>万元。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9" w:line="312" w:lineRule="auto"/>
        <w:ind w:left="420" w:leftChars="0" w:firstLine="420" w:firstLineChars="0"/>
        <w:textAlignment w:val="baseline"/>
        <w:rPr>
          <w:rFonts w:hint="default" w:ascii="仿宋" w:hAnsi="仿宋" w:eastAsia="仿宋" w:cs="仿宋"/>
          <w:color w:val="auto"/>
          <w:spacing w:val="4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4"/>
          <w:sz w:val="30"/>
          <w:szCs w:val="30"/>
          <w:lang w:val="en-US" w:eastAsia="zh-CN"/>
        </w:rPr>
        <w:t>本年度资金全年执行数</w:t>
      </w:r>
      <w:r>
        <w:rPr>
          <w:rFonts w:ascii="仿宋" w:hAnsi="仿宋" w:cs="仿宋" w:eastAsia="仿宋"/>
          <w:color w:val="auto"/>
          <w:spacing w:val="4"/>
          <w:sz w:val="30"/>
        </w:rPr>
        <w:t>2.45</w:t>
      </w:r>
      <w:r>
        <w:rPr>
          <w:rFonts w:ascii="仿宋" w:hAnsi="仿宋" w:cs="仿宋" w:eastAsia="仿宋"/>
          <w:color w:val="auto"/>
          <w:spacing w:val="4"/>
          <w:sz w:val="30"/>
        </w:rPr>
        <w:t>万元，其中：财政拨款</w:t>
      </w:r>
      <w:r>
        <w:rPr>
          <w:rFonts w:ascii="仿宋" w:hAnsi="仿宋" w:cs="仿宋" w:eastAsia="仿宋"/>
          <w:color w:val="auto"/>
          <w:spacing w:val="4"/>
          <w:sz w:val="30"/>
        </w:rPr>
        <w:t>2.45</w:t>
      </w:r>
      <w:r>
        <w:rPr>
          <w:rFonts w:ascii="仿宋" w:hAnsi="仿宋" w:cs="仿宋" w:eastAsia="仿宋"/>
          <w:color w:val="auto"/>
          <w:spacing w:val="4"/>
          <w:sz w:val="30"/>
        </w:rPr>
        <w:t>万元，其他资金</w:t>
      </w:r>
      <w:r>
        <w:rPr>
          <w:rFonts w:ascii="仿宋" w:hAnsi="仿宋" w:cs="仿宋" w:eastAsia="仿宋"/>
          <w:color w:val="auto"/>
          <w:spacing w:val="4"/>
          <w:sz w:val="30"/>
        </w:rPr>
        <w:t>0.00</w:t>
      </w:r>
      <w:r>
        <w:rPr>
          <w:rFonts w:ascii="仿宋" w:hAnsi="仿宋" w:cs="仿宋" w:eastAsia="仿宋"/>
          <w:color w:val="auto"/>
          <w:spacing w:val="4"/>
          <w:sz w:val="30"/>
        </w:rPr>
        <w:t>万元。</w:t>
      </w:r>
    </w:p>
    <w:p>
      <w:pPr>
        <w:numPr>
          <w:ilvl w:val="0"/>
          <w:numId w:val="3"/>
        </w:numPr>
        <w:spacing w:before="188" w:line="204" w:lineRule="auto"/>
        <w:ind w:left="0" w:leftChars="0" w:firstLine="616" w:firstLineChars="200"/>
        <w:rPr>
          <w:rFonts w:ascii="仿宋" w:hAnsi="仿宋" w:eastAsia="仿宋" w:cs="仿宋"/>
          <w:spacing w:val="4"/>
          <w:sz w:val="30"/>
          <w:szCs w:val="30"/>
        </w:rPr>
      </w:pPr>
      <w:r>
        <w:rPr>
          <w:rFonts w:ascii="仿宋" w:hAnsi="仿宋" w:eastAsia="仿宋" w:cs="仿宋"/>
          <w:spacing w:val="4"/>
          <w:sz w:val="30"/>
          <w:szCs w:val="30"/>
        </w:rPr>
        <w:t>项目资金产出情况。</w:t>
      </w:r>
    </w:p>
    <w:p>
      <w:pPr>
        <w:keepNext w:val="0"/>
        <w:keepLines w:val="0"/>
        <w:widowControl/>
        <w:suppressLineNumbers w:val="0"/>
        <w:jc w:val="left"/>
        <w:rPr>
          <w:rFonts w:ascii="仿宋" w:hAnsi="仿宋" w:eastAsia="仿宋" w:cs="仿宋"/>
          <w:spacing w:val="4"/>
          <w:sz w:val="30"/>
          <w:szCs w:val="30"/>
        </w:rPr>
      </w:pPr>
      <w:r>
        <w:rPr>
          <w:rFonts w:hint="default" w:ascii="仿宋" w:hAnsi="仿宋" w:eastAsia="仿宋" w:cs="仿宋"/>
          <w:spacing w:val="1"/>
          <w:sz w:val="30"/>
          <w:szCs w:val="30"/>
        </w:rPr>
        <w:t>2023年赤峰市无线电管理处无线电管理经费项目资金到位2.45万元，全部为财政资金，到位率为100%。工作经费项目支出合计2.45万元，支出进度为100%。其中：维修费支出1.17万元，差旅费支出1.28万元。主要用于我单位日常管理及频率使用情况专项检查等工作。</w:t>
      </w:r>
    </w:p>
    <w:p>
      <w:pPr>
        <w:numPr>
          <w:ilvl w:val="0"/>
          <w:numId w:val="3"/>
        </w:numPr>
        <w:spacing w:before="189" w:line="204" w:lineRule="auto"/>
        <w:ind w:left="0" w:leftChars="0" w:firstLine="608" w:firstLineChars="200"/>
        <w:rPr>
          <w:rFonts w:ascii="仿宋" w:hAnsi="仿宋" w:eastAsia="仿宋" w:cs="仿宋"/>
          <w:spacing w:val="2"/>
          <w:sz w:val="30"/>
          <w:szCs w:val="30"/>
        </w:rPr>
      </w:pPr>
      <w:r>
        <w:rPr>
          <w:rFonts w:ascii="仿宋" w:hAnsi="仿宋" w:eastAsia="仿宋" w:cs="仿宋"/>
          <w:spacing w:val="2"/>
          <w:sz w:val="30"/>
          <w:szCs w:val="30"/>
        </w:rPr>
        <w:t>项目资金管理情况。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仿宋" w:hAnsi="仿宋" w:eastAsia="仿宋" w:cs="仿宋"/>
          <w:spacing w:val="1"/>
          <w:sz w:val="30"/>
          <w:szCs w:val="30"/>
        </w:rPr>
      </w:pPr>
      <w:r>
        <w:rPr>
          <w:rFonts w:hint="default" w:ascii="仿宋" w:hAnsi="仿宋" w:eastAsia="仿宋" w:cs="仿宋"/>
          <w:spacing w:val="1"/>
          <w:sz w:val="30"/>
          <w:szCs w:val="30"/>
        </w:rPr>
        <w:t>无线电监测站赤峰市分站不断完善内控制度建设，优化预算管理流程，对项目资金的管理尤为重视。项目资金管理严格按照年初指标计划执行，按照项目资金管理办法实行专款专用，按照财政要求进行会计核算，并严格执行相关政策制度。通过履行政府采购程序，节约了项目资金，既提高财政资金使用效率，又有效合理地配置资源。通过对项目资金预算执行进度和预算绩效目标实现程度实时监控，发现问题及时采取措施纠正，切实提高预算执行效率。</w:t>
      </w:r>
    </w:p>
    <w:p>
      <w:pPr>
        <w:numPr>
          <w:ilvl w:val="0"/>
          <w:numId w:val="0"/>
        </w:numPr>
        <w:spacing w:before="189" w:line="204" w:lineRule="auto"/>
        <w:ind w:leftChars="200"/>
        <w:rPr>
          <w:rFonts w:ascii="仿宋" w:hAnsi="仿宋" w:eastAsia="仿宋" w:cs="仿宋"/>
          <w:spacing w:val="2"/>
          <w:sz w:val="30"/>
          <w:szCs w:val="30"/>
        </w:rPr>
      </w:pPr>
    </w:p>
    <w:p>
      <w:pPr>
        <w:numPr>
          <w:ilvl w:val="0"/>
          <w:numId w:val="1"/>
        </w:numPr>
        <w:spacing w:line="240" w:lineRule="auto"/>
        <w:ind w:left="0" w:firstLine="0" w:firstLineChars="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项目绩效情况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/>
      </w:r>
      <w:r>
        <w:rPr>
          <w:rFonts w:ascii="仿宋" w:hAnsi="仿宋" w:cs="仿宋" w:eastAsia="仿宋"/>
          <w:sz w:val="32"/>
        </w:rPr>
        <w:t>(一) 产出指标完成情况</w:t>
      </w:r>
      <w:r>
        <w:rPr>
          <w:rFonts w:ascii="仿宋" w:hAnsi="仿宋" w:cs="仿宋" w:eastAsia="仿宋"/>
          <w:sz w:val="32"/>
        </w:rPr>
        <w:t/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/>
      </w:r>
      <w:r>
        <w:rPr>
          <w:rFonts w:ascii="仿宋" w:hAnsi="仿宋" w:cs="仿宋" w:eastAsia="仿宋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/>
      </w:r>
      <w:r>
        <w:rPr>
          <w:rFonts w:ascii="仿宋" w:hAnsi="仿宋" w:cs="仿宋" w:eastAsia="仿宋"/>
          <w:sz w:val="32"/>
        </w:rPr>
        <w:t>1)工作人员出差天数</w:t>
      </w:r>
      <w:r>
        <w:rPr>
          <w:rFonts w:ascii="仿宋" w:hAnsi="仿宋" w:cs="仿宋" w:eastAsia="仿宋"/>
          <w:sz w:val="32"/>
        </w:rPr>
        <w:t>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大于等于</w:t>
      </w:r>
      <w:r>
        <w:rPr>
          <w:rFonts w:hint="eastAsia" w:ascii="仿宋" w:hAnsi="仿宋" w:eastAsia="仿宋"/>
          <w:sz w:val="32"/>
          <w:szCs w:val="32"/>
        </w:rPr>
        <w:t>34</w:t>
      </w:r>
      <w:r>
        <w:rPr>
          <w:rFonts w:ascii="仿宋" w:hAnsi="仿宋" w:cs="仿宋" w:eastAsia="仿宋"/>
          <w:sz w:val="32"/>
        </w:rPr>
        <w:t>天</w:t>
      </w:r>
      <w:r>
        <w:rPr>
          <w:rFonts w:ascii="仿宋" w:hAnsi="仿宋" w:cs="仿宋" w:eastAsia="仿宋"/>
          <w:sz w:val="32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cs="仿宋" w:eastAsia="仿宋"/>
          <w:sz w:val="32"/>
        </w:rPr>
        <w:t>34</w:t>
      </w:r>
      <w:r>
        <w:rPr>
          <w:rFonts w:ascii="仿宋" w:hAnsi="仿宋" w:cs="仿宋" w:eastAsia="仿宋"/>
          <w:sz w:val="32"/>
        </w:rPr>
        <w:t>天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/>
      </w:r>
      <w:r>
        <w:rPr>
          <w:rFonts w:ascii="仿宋" w:hAnsi="仿宋" w:cs="仿宋" w:eastAsia="仿宋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/>
      </w:r>
      <w:r>
        <w:rPr>
          <w:rFonts w:ascii="仿宋" w:hAnsi="仿宋" w:cs="仿宋" w:eastAsia="仿宋"/>
          <w:sz w:val="32"/>
        </w:rPr>
        <w:t>2)日常工作正常运行完成率</w:t>
      </w:r>
      <w:r>
        <w:rPr>
          <w:rFonts w:ascii="仿宋" w:hAnsi="仿宋" w:cs="仿宋" w:eastAsia="仿宋"/>
          <w:sz w:val="32"/>
        </w:rPr>
        <w:t>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大于等于</w:t>
      </w:r>
      <w:r>
        <w:rPr>
          <w:rFonts w:hint="eastAsia" w:ascii="仿宋" w:hAnsi="仿宋" w:eastAsia="仿宋"/>
          <w:sz w:val="32"/>
          <w:szCs w:val="32"/>
        </w:rPr>
        <w:t>98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cs="仿宋" w:eastAsia="仿宋"/>
          <w:sz w:val="32"/>
        </w:rPr>
        <w:t>98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/>
      </w:r>
      <w:r>
        <w:rPr>
          <w:rFonts w:ascii="仿宋" w:hAnsi="仿宋" w:cs="仿宋" w:eastAsia="仿宋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/>
      </w:r>
      <w:r>
        <w:rPr>
          <w:rFonts w:ascii="仿宋" w:hAnsi="仿宋" w:cs="仿宋" w:eastAsia="仿宋"/>
          <w:sz w:val="32"/>
        </w:rPr>
        <w:t>3)保证日常工作正常运行时间</w:t>
      </w:r>
      <w:r>
        <w:rPr>
          <w:rFonts w:ascii="仿宋" w:hAnsi="仿宋" w:cs="仿宋" w:eastAsia="仿宋"/>
          <w:sz w:val="32"/>
        </w:rPr>
        <w:t>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等于</w:t>
      </w: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cs="仿宋" w:eastAsia="仿宋"/>
          <w:sz w:val="32"/>
        </w:rPr>
        <w:t>年</w:t>
      </w:r>
      <w:r>
        <w:rPr>
          <w:rFonts w:ascii="仿宋" w:hAnsi="仿宋" w:cs="仿宋" w:eastAsia="仿宋"/>
          <w:sz w:val="32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年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/>
      </w:r>
      <w:r>
        <w:rPr>
          <w:rFonts w:ascii="仿宋" w:hAnsi="仿宋" w:cs="仿宋" w:eastAsia="仿宋"/>
          <w:sz w:val="32"/>
        </w:rPr>
        <w:t>4)工作人员出差时效</w:t>
      </w:r>
      <w:r>
        <w:rPr>
          <w:rFonts w:ascii="仿宋" w:hAnsi="仿宋" w:cs="仿宋" w:eastAsia="仿宋"/>
          <w:sz w:val="32"/>
        </w:rPr>
        <w:t>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等于</w:t>
      </w: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cs="仿宋" w:eastAsia="仿宋"/>
          <w:sz w:val="32"/>
        </w:rPr>
        <w:t>年</w:t>
      </w:r>
      <w:r>
        <w:rPr>
          <w:rFonts w:ascii="仿宋" w:hAnsi="仿宋" w:cs="仿宋" w:eastAsia="仿宋"/>
          <w:sz w:val="32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年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/>
      </w:r>
      <w:r>
        <w:rPr>
          <w:rFonts w:ascii="仿宋" w:hAnsi="仿宋" w:cs="仿宋" w:eastAsia="仿宋"/>
          <w:sz w:val="32"/>
        </w:rPr>
        <w:t>4、成本指标</w:t>
      </w:r>
      <w:r>
        <w:rPr>
          <w:rFonts w:ascii="仿宋" w:hAnsi="仿宋" w:cs="仿宋" w:eastAsia="仿宋"/>
          <w:sz w:val="32"/>
        </w:rPr>
        <w:t/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/>
      </w:r>
      <w:r>
        <w:rPr>
          <w:rFonts w:ascii="仿宋" w:hAnsi="仿宋" w:cs="仿宋" w:eastAsia="仿宋"/>
          <w:sz w:val="32"/>
        </w:rPr>
        <w:t>5)工作人员出差成本</w:t>
      </w:r>
      <w:r>
        <w:rPr>
          <w:rFonts w:ascii="仿宋" w:hAnsi="仿宋" w:cs="仿宋" w:eastAsia="仿宋"/>
          <w:sz w:val="32"/>
        </w:rPr>
        <w:t>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小于等于</w:t>
      </w:r>
      <w:r>
        <w:rPr>
          <w:rFonts w:hint="eastAsia" w:ascii="仿宋" w:hAnsi="仿宋" w:eastAsia="仿宋"/>
          <w:sz w:val="32"/>
          <w:szCs w:val="32"/>
        </w:rPr>
        <w:t>500</w:t>
      </w:r>
      <w:r>
        <w:rPr>
          <w:rFonts w:ascii="仿宋" w:hAnsi="仿宋" w:cs="仿宋" w:eastAsia="仿宋"/>
          <w:sz w:val="32"/>
        </w:rPr>
        <w:t>元/人/次</w:t>
      </w:r>
      <w:r>
        <w:rPr>
          <w:rFonts w:ascii="仿宋" w:hAnsi="仿宋" w:cs="仿宋" w:eastAsia="仿宋"/>
          <w:sz w:val="32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cs="仿宋" w:eastAsia="仿宋"/>
          <w:sz w:val="32"/>
        </w:rPr>
        <w:t>500</w:t>
      </w:r>
      <w:r>
        <w:rPr>
          <w:rFonts w:ascii="仿宋" w:hAnsi="仿宋" w:cs="仿宋" w:eastAsia="仿宋"/>
          <w:sz w:val="32"/>
        </w:rPr>
        <w:t>元/人/次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/>
      </w:r>
      <w:r>
        <w:rPr>
          <w:rFonts w:ascii="仿宋" w:hAnsi="仿宋" w:cs="仿宋" w:eastAsia="仿宋"/>
          <w:sz w:val="32"/>
        </w:rPr>
        <w:t>(二) 效益指标完成情况</w:t>
      </w:r>
      <w:r>
        <w:rPr>
          <w:rFonts w:ascii="仿宋" w:hAnsi="仿宋" w:cs="仿宋" w:eastAsia="仿宋"/>
          <w:sz w:val="32"/>
        </w:rPr>
        <w:t/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/>
      </w:r>
      <w:r>
        <w:rPr>
          <w:rFonts w:ascii="仿宋" w:hAnsi="仿宋" w:cs="仿宋" w:eastAsia="仿宋"/>
          <w:sz w:val="32"/>
        </w:rPr>
        <w:t>5、经济效益</w:t>
      </w:r>
      <w:r>
        <w:rPr>
          <w:rFonts w:ascii="仿宋" w:hAnsi="仿宋" w:cs="仿宋" w:eastAsia="仿宋"/>
          <w:sz w:val="32"/>
        </w:rPr>
        <w:t/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/>
      </w:r>
      <w:r>
        <w:rPr>
          <w:rFonts w:ascii="仿宋" w:hAnsi="仿宋" w:cs="仿宋" w:eastAsia="仿宋"/>
          <w:sz w:val="32"/>
        </w:rPr>
        <w:t>6)不涉及</w:t>
      </w:r>
      <w:r>
        <w:rPr>
          <w:rFonts w:ascii="仿宋" w:hAnsi="仿宋" w:cs="仿宋" w:eastAsia="仿宋"/>
          <w:sz w:val="32"/>
        </w:rPr>
        <w:t>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/>
      </w:r>
      <w:r>
        <w:rPr>
          <w:rFonts w:hint="eastAsia" w:ascii="仿宋" w:hAnsi="仿宋" w:eastAsia="仿宋"/>
          <w:sz w:val="32"/>
          <w:szCs w:val="32"/>
        </w:rPr>
        <w:t>不涉及</w:t>
      </w:r>
      <w:r>
        <w:rPr>
          <w:rFonts w:ascii="仿宋" w:hAnsi="仿宋" w:cs="仿宋" w:eastAsia="仿宋"/>
          <w:sz w:val="32"/>
        </w:rPr>
        <w:t/>
      </w:r>
      <w:r>
        <w:rPr>
          <w:rFonts w:ascii="仿宋" w:hAnsi="仿宋" w:cs="仿宋" w:eastAsia="仿宋"/>
          <w:sz w:val="32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cs="仿宋" w:eastAsia="仿宋"/>
          <w:sz w:val="32"/>
        </w:rPr>
        <w:t>不涉及</w:t>
      </w:r>
      <w:r>
        <w:rPr>
          <w:rFonts w:ascii="仿宋" w:hAnsi="仿宋" w:cs="仿宋" w:eastAsia="仿宋"/>
          <w:sz w:val="32"/>
        </w:rPr>
        <w:t/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/>
      </w:r>
      <w:r>
        <w:rPr>
          <w:rFonts w:ascii="仿宋" w:hAnsi="仿宋" w:cs="仿宋" w:eastAsia="仿宋"/>
          <w:sz w:val="32"/>
        </w:rPr>
        <w:t>6、社会效益</w:t>
      </w:r>
      <w:r>
        <w:rPr>
          <w:rFonts w:ascii="仿宋" w:hAnsi="仿宋" w:cs="仿宋" w:eastAsia="仿宋"/>
          <w:sz w:val="32"/>
        </w:rPr>
        <w:t/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/>
      </w:r>
      <w:r>
        <w:rPr>
          <w:rFonts w:ascii="仿宋" w:hAnsi="仿宋" w:cs="仿宋" w:eastAsia="仿宋"/>
          <w:sz w:val="32"/>
        </w:rPr>
        <w:t>7)保障监测站工作正常运行</w:t>
      </w:r>
      <w:r>
        <w:rPr>
          <w:rFonts w:ascii="仿宋" w:hAnsi="仿宋" w:cs="仿宋" w:eastAsia="仿宋"/>
          <w:sz w:val="32"/>
        </w:rPr>
        <w:t>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大于等于</w:t>
      </w:r>
      <w:r>
        <w:rPr>
          <w:rFonts w:hint="eastAsia" w:ascii="仿宋" w:hAnsi="仿宋" w:eastAsia="仿宋"/>
          <w:sz w:val="32"/>
          <w:szCs w:val="32"/>
        </w:rPr>
        <w:t>95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/>
      </w:r>
      <w:r>
        <w:rPr>
          <w:rFonts w:ascii="仿宋" w:hAnsi="仿宋" w:cs="仿宋" w:eastAsia="仿宋"/>
          <w:sz w:val="32"/>
        </w:rPr>
        <w:t>7、生态效益</w:t>
      </w:r>
      <w:r>
        <w:rPr>
          <w:rFonts w:ascii="仿宋" w:hAnsi="仿宋" w:cs="仿宋" w:eastAsia="仿宋"/>
          <w:sz w:val="32"/>
        </w:rPr>
        <w:t/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/>
      </w:r>
      <w:r>
        <w:rPr>
          <w:rFonts w:ascii="仿宋" w:hAnsi="仿宋" w:cs="仿宋" w:eastAsia="仿宋"/>
          <w:sz w:val="32"/>
        </w:rPr>
        <w:t>8)无线电电磁环境影响</w:t>
      </w:r>
      <w:r>
        <w:rPr>
          <w:rFonts w:ascii="仿宋" w:hAnsi="仿宋" w:cs="仿宋" w:eastAsia="仿宋"/>
          <w:sz w:val="32"/>
        </w:rPr>
        <w:t>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/>
      </w:r>
      <w:r>
        <w:rPr>
          <w:rFonts w:hint="eastAsia" w:ascii="仿宋" w:hAnsi="仿宋" w:eastAsia="仿宋"/>
          <w:sz w:val="32"/>
          <w:szCs w:val="32"/>
        </w:rPr>
        <w:t>有所降低</w:t>
      </w:r>
      <w:r>
        <w:rPr>
          <w:rFonts w:ascii="仿宋" w:hAnsi="仿宋" w:cs="仿宋" w:eastAsia="仿宋"/>
          <w:sz w:val="32"/>
        </w:rPr>
        <w:t/>
      </w:r>
      <w:r>
        <w:rPr>
          <w:rFonts w:ascii="仿宋" w:hAnsi="仿宋" w:cs="仿宋" w:eastAsia="仿宋"/>
          <w:sz w:val="32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cs="仿宋" w:eastAsia="仿宋"/>
          <w:sz w:val="32"/>
        </w:rPr>
        <w:t xml:space="preserve">有所降低 	</w:t>
      </w:r>
      <w:r>
        <w:rPr>
          <w:rFonts w:ascii="仿宋" w:hAnsi="仿宋" w:cs="仿宋" w:eastAsia="仿宋"/>
          <w:sz w:val="32"/>
        </w:rPr>
        <w:t/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/>
      </w:r>
      <w:r>
        <w:rPr>
          <w:rFonts w:ascii="仿宋" w:hAnsi="仿宋" w:cs="仿宋" w:eastAsia="仿宋"/>
          <w:sz w:val="32"/>
        </w:rPr>
        <w:t>8、可持续影响</w:t>
      </w:r>
      <w:r>
        <w:rPr>
          <w:rFonts w:ascii="仿宋" w:hAnsi="仿宋" w:cs="仿宋" w:eastAsia="仿宋"/>
          <w:sz w:val="32"/>
        </w:rPr>
        <w:t/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/>
      </w:r>
      <w:r>
        <w:rPr>
          <w:rFonts w:ascii="仿宋" w:hAnsi="仿宋" w:cs="仿宋" w:eastAsia="仿宋"/>
          <w:sz w:val="32"/>
        </w:rPr>
        <w:t>9)对本行业未来可持续发展影响</w:t>
      </w:r>
      <w:r>
        <w:rPr>
          <w:rFonts w:ascii="仿宋" w:hAnsi="仿宋" w:cs="仿宋" w:eastAsia="仿宋"/>
          <w:sz w:val="32"/>
        </w:rPr>
        <w:t>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大于等于</w:t>
      </w:r>
      <w:r>
        <w:rPr>
          <w:rFonts w:hint="eastAsia" w:ascii="仿宋" w:hAnsi="仿宋" w:eastAsia="仿宋"/>
          <w:sz w:val="32"/>
          <w:szCs w:val="32"/>
        </w:rPr>
        <w:t>95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/>
      </w:r>
      <w:r>
        <w:rPr>
          <w:rFonts w:ascii="仿宋" w:hAnsi="仿宋" w:cs="仿宋" w:eastAsia="仿宋"/>
          <w:sz w:val="32"/>
        </w:rPr>
        <w:t>(三) 满意度指标完成情况</w:t>
      </w:r>
      <w:r>
        <w:rPr>
          <w:rFonts w:ascii="仿宋" w:hAnsi="仿宋" w:cs="仿宋" w:eastAsia="仿宋"/>
          <w:sz w:val="32"/>
        </w:rPr>
        <w:t/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/>
      </w:r>
      <w:r>
        <w:rPr>
          <w:rFonts w:ascii="仿宋" w:hAnsi="仿宋" w:cs="仿宋" w:eastAsia="仿宋"/>
          <w:sz w:val="32"/>
        </w:rPr>
        <w:t>9、服务对象满意度</w:t>
      </w:r>
      <w:r>
        <w:rPr>
          <w:rFonts w:ascii="仿宋" w:hAnsi="仿宋" w:cs="仿宋" w:eastAsia="仿宋"/>
          <w:sz w:val="32"/>
        </w:rPr>
        <w:t/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/>
      </w:r>
      <w:r>
        <w:rPr>
          <w:rFonts w:ascii="仿宋" w:hAnsi="仿宋" w:cs="仿宋" w:eastAsia="仿宋"/>
          <w:sz w:val="32"/>
        </w:rPr>
        <w:t>10)人民群众对无线电工作满意度</w:t>
      </w:r>
      <w:r>
        <w:rPr>
          <w:rFonts w:ascii="仿宋" w:hAnsi="仿宋" w:cs="仿宋" w:eastAsia="仿宋"/>
          <w:sz w:val="32"/>
        </w:rPr>
        <w:t>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大于等于</w:t>
      </w:r>
      <w:r>
        <w:rPr>
          <w:rFonts w:hint="eastAsia" w:ascii="仿宋" w:hAnsi="仿宋" w:eastAsia="仿宋"/>
          <w:sz w:val="32"/>
          <w:szCs w:val="32"/>
        </w:rPr>
        <w:t>95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自评得分情况</w:t>
      </w:r>
    </w:p>
    <w:p>
      <w:pPr>
        <w:spacing w:line="620" w:lineRule="exact"/>
        <w:rPr>
          <w:rFonts w:hint="eastAsia" w:ascii="仿宋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90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A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1"/>
        </w:numPr>
        <w:spacing w:line="240" w:lineRule="auto"/>
        <w:ind w:left="0" w:firstLine="0" w:firstLineChars="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存在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问题</w:t>
      </w:r>
    </w:p>
    <w:p>
      <w:pPr>
        <w:numPr>
          <w:ilvl w:val="0"/>
          <w:numId w:val="4"/>
        </w:numPr>
        <w:spacing w:line="240" w:lineRule="auto"/>
        <w:ind w:left="240" w:leftChars="0" w:firstLine="0" w:firstLineChars="0"/>
        <w:rPr>
          <w:rFonts w:ascii="仿宋" w:hAnsi="仿宋" w:eastAsia="仿宋"/>
          <w:b w:val="0"/>
          <w:bCs/>
          <w:sz w:val="32"/>
          <w:szCs w:val="32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项目立项、实施存在问题。</w:t>
      </w:r>
    </w:p>
    <w:p>
      <w:pPr>
        <w:numPr>
          <w:ilvl w:val="0"/>
          <w:numId w:val="4"/>
        </w:numPr>
        <w:spacing w:line="240" w:lineRule="auto"/>
        <w:ind w:left="240" w:leftChars="0" w:firstLine="0" w:firstLineChars="0"/>
        <w:rPr>
          <w:rFonts w:ascii="仿宋" w:hAnsi="仿宋" w:eastAsia="仿宋"/>
          <w:b w:val="0"/>
          <w:bCs/>
          <w:sz w:val="32"/>
          <w:szCs w:val="32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资金管理使用存在问题</w:t>
      </w:r>
    </w:p>
    <w:p>
      <w:pPr>
        <w:spacing w:line="240" w:lineRule="auto"/>
        <w:ind w:left="420" w:firstLine="420" w:firstLineChars="0"/>
        <w:rPr>
          <w:rFonts w:ascii="仿宋" w:hAnsi="仿宋" w:eastAsia="仿宋"/>
          <w:b/>
          <w:sz w:val="32"/>
          <w:szCs w:val="32"/>
        </w:rPr>
      </w:pPr>
    </w:p>
    <w:p>
      <w:pPr>
        <w:spacing w:line="240" w:lineRule="auto"/>
        <w:ind w:firstLine="0" w:firstLineChars="0"/>
        <w:rPr>
          <w:rFonts w:hint="eastAsia" w:ascii="仿宋" w:hAnsi="仿宋" w:eastAsia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</w:rPr>
        <w:t>五、其他需要说明的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问题</w:t>
      </w:r>
    </w:p>
    <w:p>
      <w:pPr>
        <w:spacing w:before="188" w:line="204" w:lineRule="auto"/>
        <w:ind w:firstLine="577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z w:val="30"/>
          <w:szCs w:val="30"/>
        </w:rPr>
        <w:t>（一）后续工作计划。</w:t>
      </w:r>
    </w:p>
    <w:p>
      <w:pPr>
        <w:keepNext w:val="0"/>
        <w:keepLines w:val="0"/>
        <w:widowControl/>
        <w:suppressLineNumbers w:val="0"/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default" w:ascii="仿宋" w:hAnsi="仿宋" w:eastAsia="仿宋" w:cs="仿宋"/>
          <w:spacing w:val="1"/>
          <w:sz w:val="30"/>
          <w:szCs w:val="30"/>
        </w:rPr>
        <w:t>在今后的工作中，我们将进一步提高工作效率，加大项目经费绩效评价考核力度，切实提高预算管理水平。提高内部管理水平。一是加强人员培训，不断提高财政财务干部加强绩效管理的思想认识和业务能力，进一步改进工作方式，提升工作水平和工作效率。二是规范权力运行操作。进一步梳理财政预算绩效管理规程，建立健全相关管理制度，明晰预算绩效审核、抽查和评价等业务流程，促进预算绩效管理规范化、科学化和精细化</w:t>
      </w:r>
    </w:p>
    <w:p>
      <w:pPr>
        <w:spacing w:before="189" w:line="204" w:lineRule="auto"/>
        <w:ind w:firstLine="577"/>
        <w:rPr>
          <w:rFonts w:ascii="仿宋" w:hAnsi="仿宋" w:eastAsia="仿宋" w:cs="仿宋"/>
          <w:spacing w:val="-1"/>
          <w:sz w:val="30"/>
          <w:szCs w:val="30"/>
        </w:rPr>
      </w:pPr>
      <w:r>
        <w:rPr>
          <w:rFonts w:ascii="仿宋" w:hAnsi="仿宋" w:eastAsia="仿宋" w:cs="仿宋"/>
          <w:spacing w:val="-1"/>
          <w:sz w:val="30"/>
          <w:szCs w:val="30"/>
        </w:rPr>
        <w:t>（二）措施及办法。</w:t>
      </w:r>
    </w:p>
    <w:p>
      <w:pPr>
        <w:spacing w:line="620" w:lineRule="exact"/>
        <w:ind w:firstLine="880"/>
        <w:jc w:val="center"/>
        <w:rPr>
          <w:rFonts w:ascii="方正小标宋简体" w:eastAsia="方正小标宋简体"/>
          <w:sz w:val="44"/>
          <w:szCs w:val="44"/>
        </w:rPr>
      </w:pPr>
    </w:p>
    <w:p>
      <w:pPr>
        <w:spacing w:line="620" w:lineRule="exact"/>
        <w:ind w:left="590" w:firstLine="643"/>
        <w:rPr>
          <w:rFonts w:ascii="仿宋" w:hAnsi="仿宋" w:eastAsia="仿宋"/>
          <w:b/>
          <w:sz w:val="32"/>
          <w:szCs w:val="32"/>
        </w:rPr>
      </w:pPr>
    </w:p>
    <w:p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</w:p>
  </w:endnote>
  <w:endnote w:type="continuationSeparator" w:id="1">
    <w:p>
      <w:pPr>
        <w:spacing w:line="240" w:lineRule="auto"/>
        <w:ind w:firstLine="48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00000000" w:usb1="00000000" w:usb2="00000000" w:usb3="00000000" w:csb0="00000000" w:csb1="00000000"/>
  </w:font>
  <w:font w:name="宋体">
    <w:altName w:val="汉仪书宋二KW"/>
    <w:panose1 w:val="02010600030101010101"/>
    <w:charset w:val="50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方正小标宋简体">
    <w:altName w:val="汉仪书宋二KW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monospace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仿宋_GB2312">
    <w:altName w:val="方正仿宋_GBK"/>
    <w:panose1 w:val="00000000000000000000"/>
    <w:charset w:val="00"/>
    <w:family w:val="auto"/>
    <w:pitch w:val="default"/>
    <w:sig w:usb0="00000000" w:usb1="00000000" w:usb2="00000016" w:usb3="00000000" w:csb0="00040001" w:csb1="00000000"/>
  </w:font>
  <w:font w:name="PingFang SC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Tahoma">
    <w:panose1 w:val="020B0604030504040204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</w:p>
  </w:footnote>
  <w:footnote w:type="continuationSeparator" w:id="1">
    <w:p>
      <w:pPr>
        <w:spacing w:line="360" w:lineRule="auto"/>
        <w:ind w:firstLine="48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4BB1F1"/>
    <w:multiLevelType w:val="multilevel"/>
    <w:tmpl w:val="994BB1F1"/>
    <w:lvl w:ilvl="0" w:tentative="0">
      <w:start w:val="1"/>
      <w:numFmt w:val="japaneseCounting"/>
      <w:lvlText w:val="%1、"/>
      <w:lvlJc w:val="left"/>
      <w:pPr>
        <w:ind w:left="131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30" w:hanging="420"/>
      </w:pPr>
    </w:lvl>
    <w:lvl w:ilvl="2" w:tentative="0">
      <w:start w:val="1"/>
      <w:numFmt w:val="lowerRoman"/>
      <w:lvlText w:val="%3."/>
      <w:lvlJc w:val="right"/>
      <w:pPr>
        <w:ind w:left="1850" w:hanging="420"/>
      </w:pPr>
    </w:lvl>
    <w:lvl w:ilvl="3" w:tentative="0">
      <w:start w:val="1"/>
      <w:numFmt w:val="decimal"/>
      <w:lvlText w:val="%4."/>
      <w:lvlJc w:val="left"/>
      <w:pPr>
        <w:ind w:left="2270" w:hanging="420"/>
      </w:pPr>
    </w:lvl>
    <w:lvl w:ilvl="4" w:tentative="0">
      <w:start w:val="1"/>
      <w:numFmt w:val="lowerLetter"/>
      <w:lvlText w:val="%5)"/>
      <w:lvlJc w:val="left"/>
      <w:pPr>
        <w:ind w:left="2690" w:hanging="420"/>
      </w:pPr>
    </w:lvl>
    <w:lvl w:ilvl="5" w:tentative="0">
      <w:start w:val="1"/>
      <w:numFmt w:val="lowerRoman"/>
      <w:lvlText w:val="%6."/>
      <w:lvlJc w:val="right"/>
      <w:pPr>
        <w:ind w:left="3110" w:hanging="420"/>
      </w:pPr>
    </w:lvl>
    <w:lvl w:ilvl="6" w:tentative="0">
      <w:start w:val="1"/>
      <w:numFmt w:val="decimal"/>
      <w:lvlText w:val="%7."/>
      <w:lvlJc w:val="left"/>
      <w:pPr>
        <w:ind w:left="3530" w:hanging="420"/>
      </w:pPr>
    </w:lvl>
    <w:lvl w:ilvl="7" w:tentative="0">
      <w:start w:val="1"/>
      <w:numFmt w:val="lowerLetter"/>
      <w:lvlText w:val="%8)"/>
      <w:lvlJc w:val="left"/>
      <w:pPr>
        <w:ind w:left="3950" w:hanging="420"/>
      </w:pPr>
    </w:lvl>
    <w:lvl w:ilvl="8" w:tentative="0">
      <w:start w:val="1"/>
      <w:numFmt w:val="lowerRoman"/>
      <w:lvlText w:val="%9."/>
      <w:lvlJc w:val="right"/>
      <w:pPr>
        <w:ind w:left="4370" w:hanging="420"/>
      </w:pPr>
    </w:lvl>
  </w:abstractNum>
  <w:abstractNum w:abstractNumId="1">
    <w:nsid w:val="ADA24D32"/>
    <w:multiLevelType w:val="singleLevel"/>
    <w:tmpl w:val="ADA24D32"/>
    <w:lvl w:ilvl="0" w:tentative="0">
      <w:start w:val="1"/>
      <w:numFmt w:val="chineseCounting"/>
      <w:suff w:val="nothing"/>
      <w:lvlText w:val="（%1）"/>
      <w:lvlJc w:val="left"/>
      <w:pPr>
        <w:ind w:left="240"/>
      </w:pPr>
      <w:rPr>
        <w:rFonts w:hint="eastAsia"/>
      </w:rPr>
    </w:lvl>
  </w:abstractNum>
  <w:abstractNum w:abstractNumId="2">
    <w:nsid w:val="FBB8592C"/>
    <w:multiLevelType w:val="singleLevel"/>
    <w:tmpl w:val="FBB8592C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0CF258D6"/>
    <w:multiLevelType w:val="singleLevel"/>
    <w:tmpl w:val="0CF258D6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FiMzIzZTYxNzYyMTBiMzNiMDUxODg5NTdjYzRiNTUifQ=="/>
  </w:docVars>
  <w:rsids>
    <w:rsidRoot w:val="2B6F4C9D"/>
    <w:rsid w:val="000A297C"/>
    <w:rsid w:val="004C2775"/>
    <w:rsid w:val="004D77F5"/>
    <w:rsid w:val="00756160"/>
    <w:rsid w:val="00852652"/>
    <w:rsid w:val="00867BA5"/>
    <w:rsid w:val="0096249A"/>
    <w:rsid w:val="00AF50B8"/>
    <w:rsid w:val="00B12946"/>
    <w:rsid w:val="00CA048F"/>
    <w:rsid w:val="00E024D2"/>
    <w:rsid w:val="00E54742"/>
    <w:rsid w:val="01614212"/>
    <w:rsid w:val="026752A9"/>
    <w:rsid w:val="03C2244D"/>
    <w:rsid w:val="049C7DEF"/>
    <w:rsid w:val="04A96372"/>
    <w:rsid w:val="04C2697B"/>
    <w:rsid w:val="05156224"/>
    <w:rsid w:val="069550DB"/>
    <w:rsid w:val="06AB7BA4"/>
    <w:rsid w:val="07CB6A82"/>
    <w:rsid w:val="084D2748"/>
    <w:rsid w:val="0C062F64"/>
    <w:rsid w:val="0F0A7121"/>
    <w:rsid w:val="0F18115A"/>
    <w:rsid w:val="0F4B3357"/>
    <w:rsid w:val="0F6F185A"/>
    <w:rsid w:val="0FDC5FFD"/>
    <w:rsid w:val="136923D4"/>
    <w:rsid w:val="15BB6F18"/>
    <w:rsid w:val="1891657A"/>
    <w:rsid w:val="18ED55F2"/>
    <w:rsid w:val="197864DF"/>
    <w:rsid w:val="19A02C16"/>
    <w:rsid w:val="1A674D68"/>
    <w:rsid w:val="1A821FE7"/>
    <w:rsid w:val="1AC32CC4"/>
    <w:rsid w:val="1B9331E7"/>
    <w:rsid w:val="1E674D08"/>
    <w:rsid w:val="1EAB64DA"/>
    <w:rsid w:val="20347893"/>
    <w:rsid w:val="20752E9C"/>
    <w:rsid w:val="20ED716B"/>
    <w:rsid w:val="21420662"/>
    <w:rsid w:val="2190427C"/>
    <w:rsid w:val="23EF6F51"/>
    <w:rsid w:val="258855E3"/>
    <w:rsid w:val="25EE7947"/>
    <w:rsid w:val="263403FC"/>
    <w:rsid w:val="273E5672"/>
    <w:rsid w:val="288E0795"/>
    <w:rsid w:val="291D29FD"/>
    <w:rsid w:val="2B223F6D"/>
    <w:rsid w:val="2B6F4C9D"/>
    <w:rsid w:val="2C5E2E59"/>
    <w:rsid w:val="2DE23A3A"/>
    <w:rsid w:val="2E8E1287"/>
    <w:rsid w:val="300E3D77"/>
    <w:rsid w:val="30533016"/>
    <w:rsid w:val="30B80E03"/>
    <w:rsid w:val="33255290"/>
    <w:rsid w:val="33D877D8"/>
    <w:rsid w:val="35AE68A5"/>
    <w:rsid w:val="36CD16A7"/>
    <w:rsid w:val="38E64707"/>
    <w:rsid w:val="3A8859B9"/>
    <w:rsid w:val="3DE61665"/>
    <w:rsid w:val="3E1153AE"/>
    <w:rsid w:val="3E516972"/>
    <w:rsid w:val="3EE47779"/>
    <w:rsid w:val="404969DC"/>
    <w:rsid w:val="40B53B29"/>
    <w:rsid w:val="41A437D2"/>
    <w:rsid w:val="43CB6518"/>
    <w:rsid w:val="43D60DED"/>
    <w:rsid w:val="44FE14DD"/>
    <w:rsid w:val="49E56F9C"/>
    <w:rsid w:val="4A926FD7"/>
    <w:rsid w:val="4DD15688"/>
    <w:rsid w:val="4F070E89"/>
    <w:rsid w:val="4F374648"/>
    <w:rsid w:val="4F4451D2"/>
    <w:rsid w:val="51237888"/>
    <w:rsid w:val="51BA42A7"/>
    <w:rsid w:val="520F6E89"/>
    <w:rsid w:val="53203621"/>
    <w:rsid w:val="54DA00D3"/>
    <w:rsid w:val="554E0C20"/>
    <w:rsid w:val="568F07C7"/>
    <w:rsid w:val="57252998"/>
    <w:rsid w:val="59B56326"/>
    <w:rsid w:val="5A0C4685"/>
    <w:rsid w:val="5A553285"/>
    <w:rsid w:val="5AB43B01"/>
    <w:rsid w:val="5D55237F"/>
    <w:rsid w:val="5F12091C"/>
    <w:rsid w:val="5FB20796"/>
    <w:rsid w:val="5FBDFEA1"/>
    <w:rsid w:val="5FC44E2D"/>
    <w:rsid w:val="5FD626AD"/>
    <w:rsid w:val="604010EC"/>
    <w:rsid w:val="610E05D3"/>
    <w:rsid w:val="62215294"/>
    <w:rsid w:val="65FC618C"/>
    <w:rsid w:val="660310CC"/>
    <w:rsid w:val="66161B6A"/>
    <w:rsid w:val="66984919"/>
    <w:rsid w:val="66F07E69"/>
    <w:rsid w:val="671B478E"/>
    <w:rsid w:val="676F702D"/>
    <w:rsid w:val="6A582252"/>
    <w:rsid w:val="6AD82D16"/>
    <w:rsid w:val="6B464D38"/>
    <w:rsid w:val="6BDF3DCF"/>
    <w:rsid w:val="6C5075F1"/>
    <w:rsid w:val="6C670BB6"/>
    <w:rsid w:val="6DD40FF8"/>
    <w:rsid w:val="71565F3F"/>
    <w:rsid w:val="72502DE7"/>
    <w:rsid w:val="74114A65"/>
    <w:rsid w:val="74DC7A51"/>
    <w:rsid w:val="753554DD"/>
    <w:rsid w:val="75A24B0F"/>
    <w:rsid w:val="76AB03E2"/>
    <w:rsid w:val="76D1210E"/>
    <w:rsid w:val="77AC22DD"/>
    <w:rsid w:val="77B83789"/>
    <w:rsid w:val="78691D8F"/>
    <w:rsid w:val="78F52A46"/>
    <w:rsid w:val="793C6850"/>
    <w:rsid w:val="7ABC43C8"/>
    <w:rsid w:val="7CA67A3C"/>
    <w:rsid w:val="7DAE3E8B"/>
    <w:rsid w:val="7E77AE1E"/>
    <w:rsid w:val="7FB6D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宋体" w:hAnsi="宋体" w:eastAsia="宋体" w:cs="Times New Roman"/>
      <w:kern w:val="2"/>
      <w:sz w:val="24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4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customStyle="1" w:styleId="7">
    <w:name w:val="页眉 字符"/>
    <w:basedOn w:val="6"/>
    <w:link w:val="3"/>
    <w:qFormat/>
    <w:uiPriority w:val="0"/>
    <w:rPr>
      <w:rFonts w:ascii="宋体" w:hAnsi="宋体"/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rFonts w:ascii="宋体" w:hAnsi="宋体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footer3.xml" Type="http://schemas.openxmlformats.org/officeDocument/2006/relationships/footer"/><Relationship Id="rId11" Target="theme/theme1.xml" Type="http://schemas.openxmlformats.org/officeDocument/2006/relationships/theme"/><Relationship Id="rId12" Target="numbering.xml" Type="http://schemas.openxmlformats.org/officeDocument/2006/relationships/numbering"/><Relationship Id="rId13" Target="fontTable.xml" Type="http://schemas.openxmlformats.org/officeDocument/2006/relationships/fontTable"/><Relationship Id="rId2" Target="settings.xml" Type="http://schemas.openxmlformats.org/officeDocument/2006/relationships/settings"/><Relationship Id="rId3" Target="footnotes.xml" Type="http://schemas.openxmlformats.org/officeDocument/2006/relationships/footnotes"/><Relationship Id="rId4" Target="endnotes.xml" Type="http://schemas.openxmlformats.org/officeDocument/2006/relationships/endnotes"/><Relationship Id="rId5" Target="header1.xml" Type="http://schemas.openxmlformats.org/officeDocument/2006/relationships/header"/><Relationship Id="rId6" Target="header2.xml" Type="http://schemas.openxmlformats.org/officeDocument/2006/relationships/header"/><Relationship Id="rId7" Target="header3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382</Words>
  <Characters>1382</Characters>
  <Lines>16</Lines>
  <Paragraphs>4</Paragraphs>
  <TotalTime>0</TotalTime>
  <ScaleCrop>false</ScaleCrop>
  <LinksUpToDate>false</LinksUpToDate>
  <CharactersWithSpaces>1395</CharactersWithSpaces>
  <Application>WPS Office_5.2.0.7734_F1E327BC-269C-435d-A152-05C5408002CA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2021-01-19T07:13:00Z</dcterms:created>
  <dc:creator>Administrator</dc:creator>
  <cp:lastModifiedBy>.</cp:lastModifiedBy>
  <dcterms:modified xsi:type="dcterms:W3CDTF">2023-04-20T15:50:35Z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2052-5.2.0.7734</vt:lpwstr>
  </property>
  <property fmtid="{D5CDD505-2E9C-101B-9397-08002B2CF9AE}" pid="3" name="ICV">
    <vt:lpwstr>2CF270DEABCC4AC0B2D61ED60F3256AC</vt:lpwstr>
  </property>
</Properties>
</file>