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ind w:left="0" w:leftChars="0" w:firstLine="0" w:firstLineChars="0"/>
        <w:jc w:val="center"/>
        <w:rPr>
          <w:rFonts w:hint="eastAsia" w:ascii="微软雅黑" w:hAnsi="微软雅黑" w:eastAsia="微软雅黑" w:cs="微软雅黑"/>
          <w:b/>
          <w:bCs/>
          <w:sz w:val="44"/>
          <w:szCs w:val="44"/>
          <w:lang w:val="en-US" w:eastAsia="zh-CN"/>
        </w:rPr>
      </w:pPr>
      <w:r>
        <w:rPr>
          <w:rFonts w:hint="eastAsia" w:ascii="微软雅黑" w:hAnsi="微软雅黑" w:eastAsia="微软雅黑" w:cs="微软雅黑"/>
          <w:b/>
          <w:bCs/>
          <w:sz w:val="44"/>
          <w:szCs w:val="44"/>
          <w:lang w:val="en-US" w:eastAsia="zh-CN"/>
        </w:rPr>
        <w:t>内蒙古自治区工业和信息化厅（本级）</w:t>
      </w:r>
    </w:p>
    <w:p>
      <w:pPr>
        <w:spacing w:line="243" w:lineRule="auto"/>
        <w:ind w:left="0" w:leftChars="0" w:firstLine="0" w:firstLineChars="0"/>
        <w:jc w:val="center"/>
        <w:rPr>
          <w:rFonts w:hint="eastAsia" w:ascii="微软雅黑" w:hAnsi="微软雅黑" w:eastAsia="微软雅黑" w:cs="微软雅黑"/>
          <w:b/>
          <w:bCs/>
          <w:sz w:val="44"/>
          <w:szCs w:val="44"/>
          <w:lang w:val="en-US" w:eastAsia="zh-CN"/>
        </w:rPr>
      </w:pPr>
      <w:r>
        <w:rPr>
          <w:rFonts w:hint="eastAsia" w:ascii="微软雅黑" w:hAnsi="微软雅黑" w:eastAsia="微软雅黑" w:cs="微软雅黑"/>
          <w:b/>
          <w:bCs/>
          <w:sz w:val="44"/>
          <w:szCs w:val="44"/>
          <w:lang w:val="en-US" w:eastAsia="zh-CN"/>
        </w:rPr>
        <w:t>2025 年 部 门 预 算</w:t>
      </w:r>
    </w:p>
    <w:p>
      <w:pPr>
        <w:spacing w:line="243" w:lineRule="auto"/>
        <w:ind w:left="0" w:leftChars="0" w:firstLine="0" w:firstLineChars="0"/>
        <w:jc w:val="center"/>
        <w:rPr>
          <w:rFonts w:hint="eastAsia" w:ascii="微软雅黑" w:hAnsi="微软雅黑" w:eastAsia="微软雅黑" w:cs="微软雅黑"/>
          <w:b/>
          <w:bCs/>
          <w:sz w:val="44"/>
          <w:szCs w:val="44"/>
          <w:lang w:val="en-US" w:eastAsia="zh-CN"/>
        </w:rPr>
      </w:pPr>
      <w:r>
        <w:rPr>
          <w:rFonts w:hint="eastAsia" w:ascii="微软雅黑" w:hAnsi="微软雅黑" w:eastAsia="微软雅黑" w:cs="微软雅黑"/>
          <w:b/>
          <w:bCs/>
          <w:sz w:val="44"/>
          <w:szCs w:val="44"/>
          <w:lang w:val="en-US" w:eastAsia="zh-CN"/>
        </w:rPr>
        <w:t>公 开 报 告</w:t>
      </w:r>
    </w:p>
    <w:p>
      <w:pPr>
        <w:spacing w:line="243" w:lineRule="auto"/>
        <w:rPr>
          <w:rFonts w:ascii="Arial"/>
          <w:sz w:val="21"/>
        </w:rPr>
      </w:pPr>
    </w:p>
    <w:p>
      <w:pPr>
        <w:spacing w:line="523" w:lineRule="exact"/>
        <w:ind w:firstLine="1168"/>
        <w:textAlignment w:val="center"/>
      </w:pPr>
    </w:p>
    <w:p>
      <w:pPr>
        <w:spacing w:before="36" w:line="523" w:lineRule="exact"/>
        <w:ind w:firstLine="1752"/>
        <w:textAlignment w:val="center"/>
      </w:pPr>
    </w:p>
    <w:p>
      <w:pPr>
        <w:spacing w:before="38" w:line="523" w:lineRule="exact"/>
        <w:ind w:firstLine="2835"/>
        <w:textAlignment w:val="cente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ind w:left="0" w:leftChars="0" w:firstLine="0" w:firstLineChars="0"/>
        <w:rPr>
          <w:rFonts w:ascii="Arial"/>
          <w:sz w:val="21"/>
        </w:rPr>
      </w:pPr>
    </w:p>
    <w:p>
      <w:pPr>
        <w:ind w:left="0" w:leftChars="0" w:firstLine="0" w:firstLineChars="0"/>
        <w:rPr>
          <w:rFonts w:hint="eastAsia" w:ascii="黑体" w:hAnsi="黑体" w:eastAsia="黑体" w:cs="黑体"/>
          <w:sz w:val="32"/>
          <w:szCs w:val="32"/>
        </w:rPr>
      </w:pPr>
      <w:r>
        <w:rPr>
          <w:rFonts w:hint="eastAsia" w:ascii="黑体" w:hAnsi="黑体" w:eastAsia="黑体" w:cs="黑体"/>
          <w:b/>
          <w:bCs/>
          <w:sz w:val="36"/>
          <w:szCs w:val="36"/>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ind w:firstLine="480"/>
        <w:jc w:val="center"/>
        <w:textAlignment w:val="auto"/>
        <w:outlineLvl w:val="9"/>
        <w:rPr>
          <w:rFonts w:hint="eastAsia" w:ascii="黑体" w:hAnsi="黑体" w:eastAsia="黑体" w:cs="黑体"/>
          <w:b/>
          <w:bCs/>
          <w:sz w:val="44"/>
          <w:szCs w:val="44"/>
        </w:rPr>
      </w:pPr>
      <w:r>
        <w:rPr>
          <w:rFonts w:hint="eastAsia" w:ascii="黑体" w:hAnsi="黑体" w:eastAsia="黑体" w:cs="黑体"/>
          <w:b/>
          <w:bCs/>
          <w:sz w:val="44"/>
          <w:szCs w:val="44"/>
        </w:rPr>
        <w:t>目  录</w:t>
      </w:r>
    </w:p>
    <w:p>
      <w:pPr>
        <w:spacing w:line="243" w:lineRule="auto"/>
        <w:ind w:left="0" w:leftChars="0" w:firstLine="0" w:firstLineChars="0"/>
        <w:jc w:val="center"/>
        <w:rPr>
          <w:rFonts w:hint="default" w:ascii="仿宋" w:hAnsi="仿宋" w:eastAsia="黑体" w:cs="仿宋"/>
          <w:b/>
          <w:bCs/>
          <w:sz w:val="32"/>
          <w:szCs w:val="32"/>
          <w:lang w:val="en-US" w:eastAsia="zh-CN"/>
        </w:rPr>
      </w:pPr>
      <w:r>
        <w:rPr>
          <w:rFonts w:hint="eastAsia" w:ascii="黑体" w:hAnsi="黑体" w:eastAsia="黑体" w:cs="黑体"/>
          <w:b/>
          <w:bCs/>
          <w:sz w:val="32"/>
          <w:szCs w:val="32"/>
        </w:rPr>
        <w:t xml:space="preserve">第一部分   </w:t>
      </w:r>
      <w:r>
        <w:rPr>
          <w:rFonts w:hint="eastAsia" w:ascii="黑体" w:hAnsi="黑体" w:eastAsia="黑体" w:cs="黑体"/>
          <w:b/>
          <w:bCs/>
          <w:sz w:val="32"/>
          <w:szCs w:val="32"/>
          <w:lang w:val="en-US" w:eastAsia="zh-CN"/>
        </w:rPr>
        <w:t>内蒙古自治区工业和信息化厅部门概况</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default" w:ascii="黑体" w:hAnsi="黑体" w:eastAsia="黑体" w:cs="黑体"/>
          <w:sz w:val="32"/>
          <w:szCs w:val="32"/>
          <w:lang w:val="en-US" w:eastAsia="zh-CN"/>
        </w:rPr>
      </w:pPr>
      <w:r>
        <w:rPr>
          <w:rFonts w:hint="eastAsia" w:ascii="黑体" w:hAnsi="黑体" w:eastAsia="黑体" w:cs="黑体"/>
          <w:sz w:val="32"/>
          <w:szCs w:val="32"/>
        </w:rPr>
        <w:t>一、</w:t>
      </w:r>
      <w:r>
        <w:rPr>
          <w:rFonts w:hint="eastAsia" w:ascii="黑体" w:hAnsi="黑体" w:eastAsia="黑体" w:cs="黑体"/>
          <w:sz w:val="32"/>
          <w:szCs w:val="32"/>
          <w:lang w:val="en-US" w:eastAsia="zh-CN"/>
        </w:rPr>
        <w:t>主要职能</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w:t>
      </w:r>
      <w:r>
        <w:rPr>
          <w:rFonts w:hint="eastAsia" w:ascii="黑体" w:hAnsi="黑体" w:eastAsia="黑体" w:cs="黑体"/>
          <w:sz w:val="32"/>
          <w:szCs w:val="32"/>
          <w:lang w:val="en-US" w:eastAsia="zh-CN"/>
        </w:rPr>
        <w:t>机构设置及</w:t>
      </w:r>
      <w:r>
        <w:rPr>
          <w:rFonts w:hint="eastAsia" w:ascii="黑体" w:hAnsi="黑体" w:eastAsia="黑体" w:cs="黑体"/>
          <w:sz w:val="32"/>
          <w:szCs w:val="32"/>
        </w:rPr>
        <w:t>部门预算单位构成</w:t>
      </w: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outlineLvl w:val="9"/>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第二部分   部门预算安排情况说明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w:t>
      </w:r>
      <w:r>
        <w:rPr>
          <w:rFonts w:hint="eastAsia" w:ascii="黑体" w:hAnsi="黑体" w:eastAsia="黑体" w:cs="黑体"/>
          <w:sz w:val="32"/>
          <w:szCs w:val="32"/>
        </w:rPr>
        <w:t>、</w:t>
      </w:r>
      <w:r>
        <w:rPr>
          <w:rFonts w:hint="eastAsia" w:ascii="黑体" w:hAnsi="黑体" w:eastAsia="黑体" w:cs="黑体"/>
          <w:sz w:val="32"/>
          <w:szCs w:val="32"/>
          <w:lang w:val="en-US" w:eastAsia="zh-CN"/>
        </w:rPr>
        <w:t>预算收支情况总体说明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w:t>
      </w:r>
      <w:r>
        <w:rPr>
          <w:rFonts w:hint="eastAsia" w:ascii="黑体" w:hAnsi="黑体" w:eastAsia="黑体" w:cs="黑体"/>
          <w:sz w:val="32"/>
          <w:szCs w:val="32"/>
        </w:rPr>
        <w:t>、</w:t>
      </w:r>
      <w:r>
        <w:rPr>
          <w:rFonts w:hint="eastAsia" w:ascii="黑体" w:hAnsi="黑体" w:eastAsia="黑体" w:cs="黑体"/>
          <w:sz w:val="32"/>
          <w:szCs w:val="32"/>
          <w:lang w:val="en-US" w:eastAsia="zh-CN"/>
        </w:rPr>
        <w:t>一般公共预算拨款收支情况说明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三</w:t>
      </w:r>
      <w:r>
        <w:rPr>
          <w:rFonts w:hint="eastAsia" w:ascii="黑体" w:hAnsi="黑体" w:eastAsia="黑体" w:cs="黑体"/>
          <w:sz w:val="32"/>
          <w:szCs w:val="32"/>
        </w:rPr>
        <w:t>、</w:t>
      </w:r>
      <w:r>
        <w:rPr>
          <w:rFonts w:hint="eastAsia" w:ascii="黑体" w:hAnsi="黑体" w:eastAsia="黑体" w:cs="黑体"/>
          <w:sz w:val="32"/>
          <w:szCs w:val="32"/>
          <w:lang w:val="en-US" w:eastAsia="zh-CN"/>
        </w:rPr>
        <w:t>政府性基金预算拨款支出预算的情况说明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rPr>
        <w:t>、</w:t>
      </w:r>
      <w:r>
        <w:rPr>
          <w:rFonts w:hint="eastAsia" w:ascii="黑体" w:hAnsi="黑体" w:eastAsia="黑体" w:cs="黑体"/>
          <w:sz w:val="32"/>
          <w:szCs w:val="32"/>
          <w:lang w:val="en-US" w:eastAsia="zh-CN"/>
        </w:rPr>
        <w:t>国有资本经营预算拨款支出预算的情况说明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五</w:t>
      </w:r>
      <w:r>
        <w:rPr>
          <w:rFonts w:hint="eastAsia" w:ascii="黑体" w:hAnsi="黑体" w:eastAsia="黑体" w:cs="黑体"/>
          <w:sz w:val="32"/>
          <w:szCs w:val="32"/>
        </w:rPr>
        <w:t>、</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三公经费</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财政拨款支出预算的情况说明</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第三部分   其他公开事项说明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一</w:t>
      </w:r>
      <w:r>
        <w:rPr>
          <w:rFonts w:hint="eastAsia" w:ascii="黑体" w:hAnsi="黑体" w:eastAsia="黑体" w:cs="黑体"/>
          <w:sz w:val="32"/>
          <w:szCs w:val="32"/>
        </w:rPr>
        <w:t>、</w:t>
      </w:r>
      <w:r>
        <w:rPr>
          <w:rFonts w:hint="eastAsia" w:ascii="黑体" w:hAnsi="黑体" w:eastAsia="黑体" w:cs="黑体"/>
          <w:sz w:val="32"/>
          <w:szCs w:val="32"/>
          <w:lang w:val="en-US" w:eastAsia="zh-CN"/>
        </w:rPr>
        <w:t>机关运行经费安排情况说明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w:t>
      </w:r>
      <w:r>
        <w:rPr>
          <w:rFonts w:hint="eastAsia" w:ascii="黑体" w:hAnsi="黑体" w:eastAsia="黑体" w:cs="黑体"/>
          <w:sz w:val="32"/>
          <w:szCs w:val="32"/>
        </w:rPr>
        <w:t>、</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政府采购计划</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预算情况说明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三</w:t>
      </w:r>
      <w:r>
        <w:rPr>
          <w:rFonts w:hint="eastAsia" w:ascii="黑体" w:hAnsi="黑体" w:eastAsia="黑体" w:cs="黑体"/>
          <w:sz w:val="32"/>
          <w:szCs w:val="32"/>
        </w:rPr>
        <w:t>、</w:t>
      </w:r>
      <w:r>
        <w:rPr>
          <w:rFonts w:hint="eastAsia" w:ascii="黑体" w:hAnsi="黑体" w:eastAsia="黑体" w:cs="黑体"/>
          <w:sz w:val="32"/>
          <w:szCs w:val="32"/>
          <w:lang w:val="en-US" w:eastAsia="zh-CN"/>
        </w:rPr>
        <w:t>国有资产占有使用和增量情况说明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rPr>
        <w:t>、</w:t>
      </w:r>
      <w:r>
        <w:rPr>
          <w:rFonts w:hint="eastAsia" w:ascii="黑体" w:hAnsi="黑体" w:eastAsia="黑体" w:cs="黑体"/>
          <w:sz w:val="32"/>
          <w:szCs w:val="32"/>
          <w:lang w:val="en-US" w:eastAsia="zh-CN"/>
        </w:rPr>
        <w:t>部门组织征收收入计划</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五</w:t>
      </w:r>
      <w:r>
        <w:rPr>
          <w:rFonts w:hint="eastAsia" w:ascii="黑体" w:hAnsi="黑体" w:eastAsia="黑体" w:cs="黑体"/>
          <w:sz w:val="32"/>
          <w:szCs w:val="32"/>
        </w:rPr>
        <w:t>、</w:t>
      </w:r>
      <w:r>
        <w:rPr>
          <w:rFonts w:hint="eastAsia" w:ascii="黑体" w:hAnsi="黑体" w:eastAsia="黑体" w:cs="黑体"/>
          <w:sz w:val="32"/>
          <w:szCs w:val="32"/>
          <w:lang w:val="en-US" w:eastAsia="zh-CN"/>
        </w:rPr>
        <w:t>绩效目标设置情况说明</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第四部分   名词解释</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第五部分   2025年部门预算公开表</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eastAsia" w:ascii="宋体" w:hAnsi="宋体" w:eastAsia="宋体" w:cs="宋体"/>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eastAsia" w:ascii="宋体" w:hAnsi="宋体" w:eastAsia="宋体" w:cs="宋体"/>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eastAsia" w:ascii="宋体" w:hAnsi="宋体" w:eastAsia="宋体" w:cs="宋体"/>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宋体" w:hAnsi="宋体" w:eastAsia="宋体" w:cs="宋体"/>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eastAsia" w:ascii="宋体" w:hAnsi="宋体" w:eastAsia="宋体" w:cs="宋体"/>
          <w:b/>
          <w:bCs/>
          <w:kern w:val="2"/>
          <w:sz w:val="32"/>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kern w:val="2"/>
          <w:sz w:val="32"/>
          <w:szCs w:val="32"/>
          <w:lang w:val="en-US" w:eastAsia="zh-CN" w:bidi="ar-SA"/>
        </w:rPr>
        <w:t>第一部分</w:t>
      </w:r>
      <w:r>
        <w:rPr>
          <w:rFonts w:hint="eastAsia" w:ascii="宋体" w:hAnsi="宋体" w:eastAsia="宋体" w:cs="宋体"/>
          <w:b/>
          <w:bCs/>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outlineLvl w:val="9"/>
        <w:rPr>
          <w:rFonts w:hint="eastAsia" w:asciiTheme="majorEastAsia" w:hAnsiTheme="majorEastAsia" w:eastAsiaTheme="majorEastAsia" w:cstheme="maj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内蒙古自治区工业和信息化厅部门</w:t>
      </w:r>
      <w:r>
        <w:rPr>
          <w:rFonts w:hint="eastAsia" w:ascii="宋体" w:hAnsi="宋体" w:eastAsia="宋体" w:cs="宋体"/>
          <w:b/>
          <w:bCs/>
          <w:sz w:val="32"/>
          <w:szCs w:val="32"/>
          <w:lang w:val="en-US" w:eastAsia="zh-CN"/>
        </w:rPr>
        <w:t>概况</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Theme="majorEastAsia" w:hAnsiTheme="majorEastAsia" w:eastAsiaTheme="majorEastAsia" w:cstheme="majorEastAsia"/>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2" w:firstLineChars="200"/>
        <w:textAlignment w:val="auto"/>
        <w:outlineLvl w:val="9"/>
        <w:rPr>
          <w:rFonts w:hint="eastAsia" w:ascii="仿宋" w:hAnsi="仿宋" w:eastAsia="仿宋" w:cs="仿宋"/>
          <w:color w:val="393939"/>
          <w:kern w:val="0"/>
          <w:sz w:val="32"/>
          <w:szCs w:val="32"/>
        </w:rPr>
      </w:pPr>
      <w:r>
        <w:rPr>
          <w:rFonts w:hint="eastAsia" w:asciiTheme="majorEastAsia" w:hAnsiTheme="majorEastAsia" w:eastAsiaTheme="majorEastAsia" w:cstheme="majorEastAsia"/>
          <w:b/>
          <w:bCs/>
          <w:sz w:val="32"/>
          <w:szCs w:val="32"/>
          <w:lang w:val="en-US" w:eastAsia="zh-CN"/>
        </w:rPr>
        <w:t>一、主要职能</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0" w:firstLineChars="200"/>
        <w:textAlignment w:val="baseline"/>
        <w:rPr>
          <w:rFonts w:hint="eastAsia" w:ascii="仿宋" w:hAnsi="仿宋" w:eastAsia="仿宋" w:cs="仿宋"/>
          <w:color w:val="393939"/>
          <w:kern w:val="0"/>
          <w:sz w:val="32"/>
          <w:szCs w:val="32"/>
        </w:rPr>
      </w:pPr>
      <w:r>
        <w:rPr>
          <w:rFonts w:hint="eastAsia" w:ascii="仿宋" w:hAnsi="仿宋" w:eastAsia="仿宋" w:cs="仿宋"/>
          <w:color w:val="393939"/>
          <w:kern w:val="0"/>
          <w:sz w:val="32"/>
          <w:szCs w:val="32"/>
        </w:rPr>
        <w:t>内蒙古自治区工业和信息化厅是自治区人民政府主管工业和信息化工作的综合部门。</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0" w:firstLineChars="200"/>
        <w:textAlignment w:val="baseline"/>
        <w:rPr>
          <w:rFonts w:hint="eastAsia" w:ascii="仿宋" w:hAnsi="仿宋" w:eastAsia="仿宋" w:cs="仿宋"/>
          <w:color w:val="393939"/>
          <w:kern w:val="0"/>
          <w:sz w:val="32"/>
          <w:szCs w:val="32"/>
        </w:rPr>
      </w:pPr>
      <w:r>
        <w:rPr>
          <w:rFonts w:hint="eastAsia" w:ascii="仿宋" w:hAnsi="仿宋" w:eastAsia="仿宋" w:cs="仿宋"/>
          <w:color w:val="393939"/>
          <w:kern w:val="0"/>
          <w:sz w:val="32"/>
          <w:szCs w:val="32"/>
          <w:lang w:val="en-US" w:eastAsia="zh-CN"/>
        </w:rPr>
        <w:t>1.</w:t>
      </w:r>
      <w:r>
        <w:rPr>
          <w:rFonts w:hint="eastAsia" w:ascii="仿宋" w:hAnsi="仿宋" w:eastAsia="仿宋" w:cs="仿宋"/>
          <w:color w:val="393939"/>
          <w:kern w:val="0"/>
          <w:sz w:val="32"/>
          <w:szCs w:val="32"/>
        </w:rPr>
        <w:t>贯彻国家和自治区关于新型工业化发展战略和政策，起草有关地方性法规、规章草案，拟订并组织实施自治区工业和信息化发展规划；协调解决自治区新型工业化进程中的重大问题，推进产业结构战略性调整和优化升级。</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0" w:firstLineChars="200"/>
        <w:textAlignment w:val="baseline"/>
        <w:rPr>
          <w:rFonts w:hint="eastAsia" w:ascii="仿宋" w:hAnsi="仿宋" w:eastAsia="仿宋" w:cs="仿宋"/>
          <w:color w:val="393939"/>
          <w:kern w:val="0"/>
          <w:sz w:val="32"/>
          <w:szCs w:val="32"/>
        </w:rPr>
      </w:pPr>
      <w:r>
        <w:rPr>
          <w:rFonts w:hint="eastAsia" w:ascii="仿宋" w:hAnsi="仿宋" w:eastAsia="仿宋" w:cs="仿宋"/>
          <w:color w:val="393939"/>
          <w:kern w:val="0"/>
          <w:sz w:val="32"/>
          <w:szCs w:val="32"/>
          <w:lang w:val="en-US" w:eastAsia="zh-CN"/>
        </w:rPr>
        <w:t>2.</w:t>
      </w:r>
      <w:r>
        <w:rPr>
          <w:rFonts w:hint="eastAsia" w:ascii="仿宋" w:hAnsi="仿宋" w:eastAsia="仿宋" w:cs="仿宋"/>
          <w:color w:val="393939"/>
          <w:kern w:val="0"/>
          <w:sz w:val="32"/>
          <w:szCs w:val="32"/>
        </w:rPr>
        <w:t>监测分析自治区工业经济运行态势，发布相关信息，进行预测预警和信息引导；协调解决行业运行发展中的有关问题并提出政策建议；负责工业运行中煤电油运综合协调工作，研究拟定全区发电企业年度发电量预期调控目标、电力市场建设方案及年度实施计划。</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0" w:firstLineChars="200"/>
        <w:textAlignment w:val="baseline"/>
        <w:rPr>
          <w:rFonts w:hint="eastAsia" w:ascii="仿宋" w:hAnsi="仿宋" w:eastAsia="仿宋" w:cs="仿宋"/>
          <w:color w:val="393939"/>
          <w:kern w:val="0"/>
          <w:sz w:val="32"/>
          <w:szCs w:val="32"/>
        </w:rPr>
      </w:pPr>
      <w:r>
        <w:rPr>
          <w:rFonts w:hint="eastAsia" w:ascii="仿宋" w:hAnsi="仿宋" w:eastAsia="仿宋" w:cs="仿宋"/>
          <w:color w:val="393939"/>
          <w:kern w:val="0"/>
          <w:sz w:val="32"/>
          <w:szCs w:val="32"/>
          <w:lang w:val="en-US" w:eastAsia="zh-CN"/>
        </w:rPr>
        <w:t>3.</w:t>
      </w:r>
      <w:r>
        <w:rPr>
          <w:rFonts w:hint="eastAsia" w:ascii="仿宋" w:hAnsi="仿宋" w:eastAsia="仿宋" w:cs="仿宋"/>
          <w:color w:val="393939"/>
          <w:kern w:val="0"/>
          <w:sz w:val="32"/>
          <w:szCs w:val="32"/>
        </w:rPr>
        <w:t>负责提出工业和信息化固定资产投资规模和方向、中央和自治区财政性建设资金安排的建议，按规定权限审核报送属于国务院投资主管部门核准的项目，核准、备案自治区工业和信息化固定资产投资项目。指导重点区域、重点产业、重点企业的运行和协调，负责工业园区相关工作。</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0" w:firstLineChars="200"/>
        <w:textAlignment w:val="baseline"/>
        <w:rPr>
          <w:rFonts w:hint="eastAsia" w:ascii="仿宋" w:hAnsi="仿宋" w:eastAsia="仿宋" w:cs="仿宋"/>
          <w:color w:val="393939"/>
          <w:kern w:val="0"/>
          <w:sz w:val="32"/>
          <w:szCs w:val="32"/>
        </w:rPr>
      </w:pPr>
      <w:r>
        <w:rPr>
          <w:rFonts w:hint="eastAsia" w:ascii="仿宋" w:hAnsi="仿宋" w:eastAsia="仿宋" w:cs="仿宋"/>
          <w:color w:val="393939"/>
          <w:kern w:val="0"/>
          <w:sz w:val="32"/>
          <w:szCs w:val="32"/>
          <w:lang w:val="en-US" w:eastAsia="zh-CN"/>
        </w:rPr>
        <w:t>4.</w:t>
      </w:r>
      <w:r>
        <w:rPr>
          <w:rFonts w:hint="eastAsia" w:ascii="仿宋" w:hAnsi="仿宋" w:eastAsia="仿宋" w:cs="仿宋"/>
          <w:color w:val="393939"/>
          <w:kern w:val="0"/>
          <w:sz w:val="32"/>
          <w:szCs w:val="32"/>
        </w:rPr>
        <w:t>根据自治区国民经济和社会发展总体规划和产业发展政策，提出传统产业技术改造相关政策和产业结构调整建议。拟订工业和信息化年度发展计划并组织实施，制定重点行业准入制度，组织实施工业布局调整。负责工业领域的行业管理。依法履行自治区盐业主管机构的行业管理职责。负责全区民用爆炸物品安全生产监督管理。</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0" w:firstLineChars="200"/>
        <w:textAlignment w:val="baseline"/>
        <w:rPr>
          <w:rFonts w:hint="eastAsia" w:ascii="仿宋" w:hAnsi="仿宋" w:eastAsia="仿宋" w:cs="仿宋"/>
          <w:color w:val="393939"/>
          <w:kern w:val="0"/>
          <w:sz w:val="32"/>
          <w:szCs w:val="32"/>
        </w:rPr>
      </w:pPr>
      <w:r>
        <w:rPr>
          <w:rFonts w:hint="eastAsia" w:ascii="仿宋" w:hAnsi="仿宋" w:eastAsia="仿宋" w:cs="仿宋"/>
          <w:color w:val="393939"/>
          <w:kern w:val="0"/>
          <w:sz w:val="32"/>
          <w:szCs w:val="32"/>
          <w:lang w:val="en-US" w:eastAsia="zh-CN"/>
        </w:rPr>
        <w:t>5.</w:t>
      </w:r>
      <w:r>
        <w:rPr>
          <w:rFonts w:hint="eastAsia" w:ascii="仿宋" w:hAnsi="仿宋" w:eastAsia="仿宋" w:cs="仿宋"/>
          <w:color w:val="393939"/>
          <w:kern w:val="0"/>
          <w:sz w:val="32"/>
          <w:szCs w:val="32"/>
        </w:rPr>
        <w:t>指导工业绿色发展。拟订自治区工业能源节约、资源综合利用、自愿型清洁生产促进政策及规划并组织实施。组织实施工业绿色发展重大示范项目和新产品、新技术、新设备、新材料的推广应用工作。负责工业节能监察工作。</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0" w:firstLineChars="200"/>
        <w:textAlignment w:val="baseline"/>
        <w:rPr>
          <w:rFonts w:hint="eastAsia" w:ascii="仿宋" w:hAnsi="仿宋" w:eastAsia="仿宋" w:cs="仿宋"/>
          <w:color w:val="393939"/>
          <w:kern w:val="0"/>
          <w:sz w:val="32"/>
          <w:szCs w:val="32"/>
        </w:rPr>
      </w:pPr>
      <w:r>
        <w:rPr>
          <w:rFonts w:hint="eastAsia" w:ascii="仿宋" w:hAnsi="仿宋" w:eastAsia="仿宋" w:cs="仿宋"/>
          <w:color w:val="393939"/>
          <w:kern w:val="0"/>
          <w:sz w:val="32"/>
          <w:szCs w:val="32"/>
          <w:lang w:val="en-US" w:eastAsia="zh-CN"/>
        </w:rPr>
        <w:t>6.</w:t>
      </w:r>
      <w:r>
        <w:rPr>
          <w:rFonts w:hint="eastAsia" w:ascii="仿宋" w:hAnsi="仿宋" w:eastAsia="仿宋" w:cs="仿宋"/>
          <w:color w:val="393939"/>
          <w:kern w:val="0"/>
          <w:sz w:val="32"/>
          <w:szCs w:val="32"/>
        </w:rPr>
        <w:t>负责工业和信息技术服务业创新体系建设，推动技术创新和产学研用相结合。参与有关国家、自治区工业和信息化产业科技重大专项，推进相关科研成果产业化。指导工业行业的质量管理和品牌培育。</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0" w:firstLineChars="200"/>
        <w:textAlignment w:val="baseline"/>
        <w:rPr>
          <w:rFonts w:hint="eastAsia" w:ascii="仿宋" w:hAnsi="仿宋" w:eastAsia="仿宋" w:cs="仿宋"/>
          <w:color w:val="393939"/>
          <w:kern w:val="0"/>
          <w:sz w:val="32"/>
          <w:szCs w:val="32"/>
        </w:rPr>
      </w:pPr>
      <w:r>
        <w:rPr>
          <w:rFonts w:hint="eastAsia" w:ascii="仿宋" w:hAnsi="仿宋" w:eastAsia="仿宋" w:cs="仿宋"/>
          <w:color w:val="393939"/>
          <w:kern w:val="0"/>
          <w:sz w:val="32"/>
          <w:szCs w:val="32"/>
          <w:lang w:val="en-US" w:eastAsia="zh-CN"/>
        </w:rPr>
        <w:t>7.</w:t>
      </w:r>
      <w:r>
        <w:rPr>
          <w:rFonts w:hint="eastAsia" w:ascii="仿宋" w:hAnsi="仿宋" w:eastAsia="仿宋" w:cs="仿宋"/>
          <w:color w:val="393939"/>
          <w:kern w:val="0"/>
          <w:sz w:val="32"/>
          <w:szCs w:val="32"/>
        </w:rPr>
        <w:t>组织协调振兴装备制造业工作，组织拟订技术装备发展和自主创新规划、政策，依托国家和自治区重点工程建设协调有关重大专项的实施，推进技术装备国产化，指导引进技术装备的消化创新，推动新兴产业发展。</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0" w:firstLineChars="200"/>
        <w:jc w:val="both"/>
        <w:textAlignment w:val="baseline"/>
        <w:rPr>
          <w:rFonts w:hint="eastAsia" w:ascii="仿宋" w:hAnsi="仿宋" w:eastAsia="仿宋" w:cs="仿宋"/>
          <w:color w:val="393939"/>
          <w:kern w:val="0"/>
          <w:sz w:val="32"/>
          <w:szCs w:val="32"/>
        </w:rPr>
      </w:pPr>
      <w:r>
        <w:rPr>
          <w:rFonts w:hint="eastAsia" w:ascii="仿宋" w:hAnsi="仿宋" w:eastAsia="仿宋" w:cs="仿宋"/>
          <w:color w:val="393939"/>
          <w:kern w:val="0"/>
          <w:sz w:val="32"/>
          <w:szCs w:val="32"/>
          <w:lang w:val="en-US" w:eastAsia="zh-CN"/>
        </w:rPr>
        <w:t>8.</w:t>
      </w:r>
      <w:r>
        <w:rPr>
          <w:rFonts w:hint="eastAsia" w:ascii="仿宋" w:hAnsi="仿宋" w:eastAsia="仿宋" w:cs="仿宋"/>
          <w:color w:val="393939"/>
          <w:kern w:val="0"/>
          <w:sz w:val="32"/>
          <w:szCs w:val="32"/>
        </w:rPr>
        <w:t>负责工业领域信息化工作。推进信息化和工业化融合发展。推进工业互联网、软件业、信息服务业发展。负责工业控制系统网络与信息安全。指导通讯网络基础设施建设。指导协调网络资源共建共享。负责电子政务外网建设、运行、管理。</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0" w:firstLineChars="200"/>
        <w:jc w:val="both"/>
        <w:textAlignment w:val="baseline"/>
        <w:rPr>
          <w:rFonts w:hint="eastAsia" w:ascii="仿宋" w:hAnsi="仿宋" w:eastAsia="仿宋" w:cs="仿宋"/>
          <w:color w:val="393939"/>
          <w:kern w:val="0"/>
          <w:sz w:val="32"/>
          <w:szCs w:val="32"/>
        </w:rPr>
      </w:pPr>
      <w:r>
        <w:rPr>
          <w:rFonts w:hint="eastAsia" w:ascii="仿宋" w:hAnsi="仿宋" w:eastAsia="仿宋" w:cs="仿宋"/>
          <w:color w:val="393939"/>
          <w:kern w:val="0"/>
          <w:sz w:val="32"/>
          <w:szCs w:val="32"/>
          <w:lang w:val="en-US" w:eastAsia="zh-CN"/>
        </w:rPr>
        <w:t>9.</w:t>
      </w:r>
      <w:r>
        <w:rPr>
          <w:rFonts w:hint="eastAsia" w:ascii="仿宋" w:hAnsi="仿宋" w:eastAsia="仿宋" w:cs="仿宋"/>
          <w:color w:val="393939"/>
          <w:kern w:val="0"/>
          <w:sz w:val="32"/>
          <w:szCs w:val="32"/>
        </w:rPr>
        <w:t>负责中小企业及非公有制工业经济发展的宏观指导。拟订促进中小企业和非公有制工业经济发展的相关政策和措施。</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0" w:firstLineChars="200"/>
        <w:jc w:val="both"/>
        <w:textAlignment w:val="baseline"/>
        <w:rPr>
          <w:rFonts w:hint="eastAsia" w:ascii="仿宋" w:hAnsi="仿宋" w:eastAsia="仿宋" w:cs="仿宋"/>
          <w:color w:val="393939"/>
          <w:kern w:val="0"/>
          <w:sz w:val="32"/>
          <w:szCs w:val="32"/>
        </w:rPr>
      </w:pPr>
      <w:r>
        <w:rPr>
          <w:rFonts w:hint="eastAsia" w:ascii="仿宋" w:hAnsi="仿宋" w:eastAsia="仿宋" w:cs="仿宋"/>
          <w:color w:val="393939"/>
          <w:kern w:val="0"/>
          <w:sz w:val="32"/>
          <w:szCs w:val="32"/>
          <w:lang w:val="en-US" w:eastAsia="zh-CN"/>
        </w:rPr>
        <w:t>10.</w:t>
      </w:r>
      <w:r>
        <w:rPr>
          <w:rFonts w:hint="eastAsia" w:ascii="仿宋" w:hAnsi="仿宋" w:eastAsia="仿宋" w:cs="仿宋"/>
          <w:color w:val="393939"/>
          <w:kern w:val="0"/>
          <w:sz w:val="32"/>
          <w:szCs w:val="32"/>
        </w:rPr>
        <w:t>负责除军事系统外全区无线电管理工作。管理自治区无线电监测站及无线电管理盟市派出机构。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textAlignment w:val="auto"/>
        <w:outlineLvl w:val="9"/>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二、机构设置</w:t>
      </w:r>
    </w:p>
    <w:p>
      <w:pPr>
        <w:pStyle w:val="2"/>
        <w:keepNext w:val="0"/>
        <w:keepLines w:val="0"/>
        <w:pageBreakBefore w:val="0"/>
        <w:numPr>
          <w:ilvl w:val="0"/>
          <w:numId w:val="0"/>
        </w:numPr>
        <w:kinsoku/>
        <w:wordWrap/>
        <w:overflowPunct/>
        <w:topLinePunct w:val="0"/>
        <w:autoSpaceDE/>
        <w:autoSpaceDN/>
        <w:bidi w:val="0"/>
        <w:adjustRightInd/>
        <w:snapToGrid/>
        <w:spacing w:after="0" w:line="240" w:lineRule="auto"/>
        <w:ind w:left="0" w:leftChars="0" w:firstLine="640" w:firstLineChars="200"/>
        <w:rPr>
          <w:rFonts w:hint="eastAsia" w:ascii="仿宋" w:hAnsi="仿宋" w:eastAsia="仿宋" w:cs="仿宋"/>
          <w:color w:val="393939"/>
          <w:kern w:val="0"/>
          <w:sz w:val="32"/>
          <w:szCs w:val="32"/>
          <w:lang w:eastAsia="zh-CN"/>
        </w:rPr>
      </w:pPr>
      <w:r>
        <w:rPr>
          <w:rFonts w:hint="eastAsia" w:ascii="仿宋" w:hAnsi="仿宋" w:eastAsia="仿宋" w:cs="仿宋"/>
          <w:color w:val="393939"/>
          <w:kern w:val="0"/>
          <w:sz w:val="32"/>
          <w:szCs w:val="32"/>
        </w:rPr>
        <w:t>据</w:t>
      </w:r>
      <w:r>
        <w:rPr>
          <w:rFonts w:hint="eastAsia" w:ascii="仿宋" w:hAnsi="仿宋" w:eastAsia="仿宋" w:cs="仿宋"/>
          <w:color w:val="393939"/>
          <w:kern w:val="0"/>
          <w:sz w:val="32"/>
          <w:szCs w:val="32"/>
          <w:lang w:val="en-US"/>
        </w:rPr>
        <w:t>部门</w:t>
      </w:r>
      <w:r>
        <w:rPr>
          <w:rFonts w:hint="eastAsia" w:ascii="仿宋" w:hAnsi="仿宋" w:eastAsia="仿宋" w:cs="仿宋"/>
          <w:color w:val="393939"/>
          <w:kern w:val="0"/>
          <w:sz w:val="32"/>
          <w:szCs w:val="32"/>
        </w:rPr>
        <w:t>职责分工，本</w:t>
      </w:r>
      <w:r>
        <w:rPr>
          <w:rFonts w:hint="eastAsia" w:ascii="仿宋" w:hAnsi="仿宋" w:eastAsia="仿宋" w:cs="仿宋"/>
          <w:color w:val="393939"/>
          <w:kern w:val="0"/>
          <w:sz w:val="32"/>
          <w:szCs w:val="32"/>
          <w:lang w:val="en-US"/>
        </w:rPr>
        <w:t>部门</w:t>
      </w:r>
      <w:r>
        <w:rPr>
          <w:rFonts w:hint="eastAsia" w:ascii="仿宋" w:hAnsi="仿宋" w:eastAsia="仿宋" w:cs="仿宋"/>
          <w:color w:val="393939"/>
          <w:kern w:val="0"/>
          <w:sz w:val="32"/>
          <w:szCs w:val="32"/>
        </w:rPr>
        <w:t>内设机构</w:t>
      </w:r>
      <w:r>
        <w:rPr>
          <w:rFonts w:hint="eastAsia" w:ascii="仿宋" w:hAnsi="仿宋" w:eastAsia="仿宋" w:cs="仿宋"/>
          <w:color w:val="393939"/>
          <w:kern w:val="0"/>
          <w:sz w:val="32"/>
          <w:szCs w:val="32"/>
          <w:lang w:val="en-US" w:eastAsia="zh-CN"/>
        </w:rPr>
        <w:t>20个，</w:t>
      </w:r>
      <w:r>
        <w:rPr>
          <w:rFonts w:hint="eastAsia" w:ascii="仿宋" w:hAnsi="仿宋" w:eastAsia="仿宋" w:cs="仿宋"/>
          <w:color w:val="393939"/>
          <w:kern w:val="0"/>
          <w:sz w:val="32"/>
          <w:szCs w:val="32"/>
        </w:rPr>
        <w:t>包括</w:t>
      </w:r>
      <w:r>
        <w:rPr>
          <w:rFonts w:hint="eastAsia" w:ascii="仿宋" w:hAnsi="仿宋" w:eastAsia="仿宋" w:cs="仿宋"/>
          <w:color w:val="393939"/>
          <w:kern w:val="0"/>
          <w:sz w:val="32"/>
          <w:szCs w:val="32"/>
          <w:lang w:eastAsia="zh-CN"/>
        </w:rPr>
        <w:t>办公室、人事处、政策法规处、经济运行局、投资规划处、节能与综合利用处、科技电子处、化学工业处、冶金建材工业处、装备工业处、消费品工业处、民爆处、信息化和软件服务业处、工业园区处、中小企业局、无线电管理委员会办公室、纪检监察组、机关党委及离退休人员工作处。</w:t>
      </w:r>
    </w:p>
    <w:p>
      <w:pPr>
        <w:pStyle w:val="2"/>
        <w:numPr>
          <w:ilvl w:val="0"/>
          <w:numId w:val="0"/>
        </w:numPr>
        <w:spacing w:line="240" w:lineRule="auto"/>
        <w:ind w:left="0" w:leftChars="0" w:firstLine="640" w:firstLineChars="200"/>
        <w:rPr>
          <w:rFonts w:hint="eastAsia" w:ascii="仿宋" w:hAnsi="仿宋" w:eastAsia="仿宋" w:cs="仿宋"/>
          <w:color w:val="393939"/>
          <w:kern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eastAsia" w:ascii="宋体" w:hAnsi="宋体" w:cs="宋体"/>
          <w:b/>
          <w:bCs/>
          <w:sz w:val="32"/>
          <w:szCs w:val="32"/>
          <w:lang w:val="en-US" w:eastAsia="zh-CN"/>
        </w:rPr>
      </w:pPr>
      <w:r>
        <w:rPr>
          <w:rFonts w:hint="eastAsia" w:ascii="宋体" w:hAnsi="宋体" w:eastAsia="宋体" w:cs="宋体"/>
          <w:b/>
          <w:bCs/>
          <w:kern w:val="2"/>
          <w:sz w:val="32"/>
          <w:szCs w:val="32"/>
          <w:lang w:val="en-US" w:eastAsia="zh-CN" w:bidi="ar-SA"/>
        </w:rPr>
        <w:t>第二部分</w:t>
      </w:r>
      <w:r>
        <w:rPr>
          <w:rFonts w:hint="eastAsia" w:ascii="宋体" w:hAnsi="宋体" w:eastAsia="宋体" w:cs="宋体"/>
          <w:b/>
          <w:bCs/>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cs="宋体"/>
          <w:b/>
          <w:bCs/>
          <w:sz w:val="32"/>
          <w:szCs w:val="32"/>
          <w:lang w:val="en-US" w:eastAsia="zh-CN"/>
        </w:rPr>
      </w:pPr>
      <w:r>
        <w:rPr>
          <w:rFonts w:hint="eastAsia" w:ascii="宋体" w:hAnsi="宋体" w:cs="宋体"/>
          <w:b/>
          <w:bCs/>
          <w:sz w:val="32"/>
          <w:szCs w:val="32"/>
          <w:lang w:val="en-US" w:eastAsia="zh-CN"/>
        </w:rPr>
        <w:t>部门预算安排情况说明</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heme="majorEastAsia" w:hAnsiTheme="majorEastAsia" w:eastAsiaTheme="majorEastAsia" w:cstheme="major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一、预算收支情况的总体说明</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部门预算收入总计</w:t>
      </w:r>
      <w:r>
        <w:rPr>
          <w:rFonts w:hint="eastAsia" w:ascii="仿宋" w:hAnsi="仿宋" w:eastAsia="仿宋" w:cs="仿宋"/>
          <w:sz w:val="32"/>
          <w:szCs w:val="32"/>
          <w:lang w:val="en-US" w:eastAsia="zh-CN"/>
        </w:rPr>
        <w:t>109107.29万元，其中一般公共预算拨款收入107992.23万元</w:t>
      </w:r>
      <w:r>
        <w:rPr>
          <w:rFonts w:hint="eastAsia" w:ascii="仿宋" w:hAnsi="仿宋" w:eastAsia="仿宋" w:cs="仿宋"/>
          <w:sz w:val="32"/>
          <w:szCs w:val="32"/>
        </w:rPr>
        <w:t>，</w:t>
      </w:r>
      <w:r>
        <w:rPr>
          <w:rFonts w:hint="eastAsia" w:ascii="仿宋" w:hAnsi="仿宋" w:eastAsia="仿宋" w:cs="仿宋"/>
          <w:sz w:val="32"/>
          <w:szCs w:val="32"/>
          <w:lang w:eastAsia="zh-CN"/>
        </w:rPr>
        <w:t>上年结转</w:t>
      </w:r>
      <w:r>
        <w:rPr>
          <w:rFonts w:hint="eastAsia" w:ascii="仿宋" w:hAnsi="仿宋" w:eastAsia="仿宋" w:cs="仿宋"/>
          <w:sz w:val="32"/>
          <w:szCs w:val="32"/>
          <w:lang w:val="en-US" w:eastAsia="zh-CN"/>
        </w:rPr>
        <w:t>1115.07万元</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部门预算支出</w:t>
      </w:r>
      <w:r>
        <w:rPr>
          <w:rFonts w:hint="eastAsia" w:ascii="仿宋" w:hAnsi="仿宋" w:eastAsia="仿宋" w:cs="仿宋"/>
          <w:sz w:val="32"/>
          <w:szCs w:val="32"/>
          <w:lang w:eastAsia="zh-CN"/>
        </w:rPr>
        <w:t>总计</w:t>
      </w:r>
      <w:r>
        <w:rPr>
          <w:rFonts w:hint="eastAsia" w:ascii="仿宋" w:hAnsi="仿宋" w:eastAsia="仿宋" w:cs="仿宋"/>
          <w:sz w:val="32"/>
          <w:szCs w:val="32"/>
          <w:lang w:val="en-US" w:eastAsia="zh-CN"/>
        </w:rPr>
        <w:t>109107.29</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2144.18</w:t>
      </w:r>
      <w:r>
        <w:rPr>
          <w:rFonts w:hint="eastAsia" w:ascii="仿宋" w:hAnsi="仿宋" w:eastAsia="仿宋" w:cs="仿宋"/>
          <w:sz w:val="32"/>
          <w:szCs w:val="32"/>
        </w:rPr>
        <w:t>万元，占比</w:t>
      </w:r>
      <w:r>
        <w:rPr>
          <w:rFonts w:hint="eastAsia" w:ascii="仿宋" w:hAnsi="仿宋" w:eastAsia="仿宋" w:cs="仿宋"/>
          <w:sz w:val="32"/>
          <w:szCs w:val="32"/>
          <w:lang w:val="en-US" w:eastAsia="zh-CN"/>
        </w:rPr>
        <w:t>1.97</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主要用于</w:t>
      </w:r>
      <w:r>
        <w:rPr>
          <w:rFonts w:hint="eastAsia" w:ascii="仿宋" w:hAnsi="仿宋" w:eastAsia="仿宋" w:cs="仿宋"/>
          <w:sz w:val="32"/>
          <w:szCs w:val="32"/>
          <w:lang w:eastAsia="zh-CN"/>
        </w:rPr>
        <w:t>在职人员工资、社保、机关运行经费、办公楼及附属设施运行维护和离、退休人员补助等；</w:t>
      </w:r>
      <w:r>
        <w:rPr>
          <w:rFonts w:hint="eastAsia" w:ascii="仿宋" w:hAnsi="仿宋" w:eastAsia="仿宋" w:cs="仿宋"/>
          <w:sz w:val="32"/>
          <w:szCs w:val="32"/>
        </w:rPr>
        <w:t>项目支出</w:t>
      </w:r>
      <w:r>
        <w:rPr>
          <w:rFonts w:hint="eastAsia" w:ascii="仿宋" w:hAnsi="仿宋" w:eastAsia="仿宋" w:cs="仿宋"/>
          <w:sz w:val="32"/>
          <w:szCs w:val="32"/>
          <w:lang w:val="en-US" w:eastAsia="zh-CN"/>
        </w:rPr>
        <w:t>106963.12</w:t>
      </w:r>
      <w:r>
        <w:rPr>
          <w:rFonts w:hint="eastAsia" w:ascii="仿宋" w:hAnsi="仿宋" w:eastAsia="仿宋" w:cs="仿宋"/>
          <w:sz w:val="32"/>
          <w:szCs w:val="32"/>
        </w:rPr>
        <w:t>万元，占比</w:t>
      </w:r>
      <w:r>
        <w:rPr>
          <w:rFonts w:hint="eastAsia" w:ascii="仿宋" w:hAnsi="仿宋" w:eastAsia="仿宋" w:cs="仿宋"/>
          <w:sz w:val="32"/>
          <w:szCs w:val="32"/>
          <w:lang w:val="en-US" w:eastAsia="zh-CN"/>
        </w:rPr>
        <w:t>98.03</w:t>
      </w:r>
      <w:r>
        <w:rPr>
          <w:rFonts w:hint="eastAsia" w:ascii="仿宋" w:hAnsi="仿宋" w:eastAsia="仿宋" w:cs="仿宋"/>
          <w:sz w:val="32"/>
          <w:szCs w:val="32"/>
        </w:rPr>
        <w:t>%。主要用于</w:t>
      </w:r>
      <w:r>
        <w:rPr>
          <w:rFonts w:hint="eastAsia" w:ascii="仿宋" w:hAnsi="仿宋" w:eastAsia="仿宋" w:cs="仿宋"/>
          <w:sz w:val="32"/>
          <w:szCs w:val="32"/>
          <w:lang w:eastAsia="zh-CN"/>
        </w:rPr>
        <w:t>补充公用经费不足以及重点产业发展专项资金支持的重点项目，业务用房及专用设备运维、信息化平台运行维护、综合业务运转保障、无线电监管等</w:t>
      </w:r>
      <w:r>
        <w:rPr>
          <w:rFonts w:hint="eastAsia" w:ascii="仿宋" w:hAnsi="仿宋" w:eastAsia="仿宋" w:cs="仿宋"/>
          <w:sz w:val="32"/>
          <w:szCs w:val="32"/>
        </w:rPr>
        <w:t>方面支出。</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二、一般公共预算拨款收支情况说明</w:t>
      </w:r>
    </w:p>
    <w:p>
      <w:pPr>
        <w:keepNext w:val="0"/>
        <w:keepLines w:val="0"/>
        <w:pageBreakBefore w:val="0"/>
        <w:widowControl w:val="0"/>
        <w:kinsoku/>
        <w:wordWrap/>
        <w:overflowPunct/>
        <w:topLinePunct w:val="0"/>
        <w:autoSpaceDE/>
        <w:autoSpaceDN/>
        <w:bidi w:val="0"/>
        <w:snapToGrid/>
        <w:spacing w:line="240" w:lineRule="auto"/>
        <w:ind w:firstLine="640" w:firstLineChars="200"/>
        <w:textAlignment w:val="auto"/>
        <w:rPr>
          <w:rFonts w:hint="eastAsia" w:ascii="仿宋" w:hAnsi="仿宋" w:eastAsia="仿宋" w:cs="仿宋"/>
          <w:sz w:val="36"/>
          <w:szCs w:val="36"/>
        </w:rPr>
      </w:pPr>
      <w:r>
        <w:rPr>
          <w:rFonts w:hint="eastAsia" w:ascii="仿宋" w:hAnsi="仿宋" w:eastAsia="仿宋" w:cs="仿宋"/>
          <w:sz w:val="32"/>
          <w:szCs w:val="32"/>
        </w:rPr>
        <w:t>（一）财政拨款规模情况</w:t>
      </w:r>
    </w:p>
    <w:p>
      <w:pPr>
        <w:keepNext w:val="0"/>
        <w:keepLines w:val="0"/>
        <w:pageBreakBefore w:val="0"/>
        <w:widowControl w:val="0"/>
        <w:kinsoku/>
        <w:wordWrap/>
        <w:overflowPunct/>
        <w:topLinePunct w:val="0"/>
        <w:autoSpaceDE/>
        <w:autoSpaceDN/>
        <w:bidi w:val="0"/>
        <w:snapToGrid/>
        <w:spacing w:line="240" w:lineRule="auto"/>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财政拨款收</w:t>
      </w:r>
      <w:r>
        <w:rPr>
          <w:rFonts w:hint="eastAsia" w:ascii="仿宋" w:hAnsi="仿宋" w:eastAsia="仿宋" w:cs="仿宋"/>
          <w:sz w:val="32"/>
          <w:szCs w:val="32"/>
          <w:lang w:eastAsia="zh-CN"/>
        </w:rPr>
        <w:t>入</w:t>
      </w:r>
      <w:r>
        <w:rPr>
          <w:rFonts w:hint="eastAsia" w:ascii="仿宋" w:hAnsi="仿宋" w:eastAsia="仿宋" w:cs="仿宋"/>
          <w:sz w:val="32"/>
          <w:szCs w:val="32"/>
          <w:lang w:val="en-US" w:eastAsia="zh-CN"/>
        </w:rPr>
        <w:t>107992.23</w:t>
      </w:r>
      <w:r>
        <w:rPr>
          <w:rFonts w:hint="eastAsia" w:ascii="仿宋" w:hAnsi="仿宋" w:eastAsia="仿宋" w:cs="仿宋"/>
          <w:sz w:val="32"/>
          <w:szCs w:val="32"/>
        </w:rPr>
        <w:t>万元，</w:t>
      </w:r>
      <w:r>
        <w:rPr>
          <w:rFonts w:hint="eastAsia" w:ascii="仿宋" w:hAnsi="仿宋" w:eastAsia="仿宋" w:cs="仿宋"/>
          <w:sz w:val="32"/>
          <w:szCs w:val="32"/>
          <w:lang w:eastAsia="zh-CN"/>
        </w:rPr>
        <w:t>上年结转</w:t>
      </w:r>
      <w:r>
        <w:rPr>
          <w:rFonts w:hint="eastAsia" w:ascii="仿宋" w:hAnsi="仿宋" w:eastAsia="仿宋" w:cs="仿宋"/>
          <w:sz w:val="32"/>
          <w:szCs w:val="32"/>
          <w:lang w:val="en-US" w:eastAsia="zh-CN"/>
        </w:rPr>
        <w:t>1115.07万元。</w:t>
      </w:r>
    </w:p>
    <w:p>
      <w:pPr>
        <w:keepNext w:val="0"/>
        <w:keepLines w:val="0"/>
        <w:pageBreakBefore w:val="0"/>
        <w:widowControl w:val="0"/>
        <w:kinsoku/>
        <w:wordWrap/>
        <w:overflowPunct/>
        <w:topLinePunct w:val="0"/>
        <w:autoSpaceDE/>
        <w:autoSpaceDN/>
        <w:bidi w:val="0"/>
        <w:snapToGrid/>
        <w:spacing w:line="240" w:lineRule="auto"/>
        <w:ind w:left="730" w:leftChars="304" w:firstLine="0" w:firstLineChars="0"/>
        <w:textAlignment w:val="auto"/>
        <w:rPr>
          <w:rFonts w:hint="eastAsia" w:ascii="仿宋" w:hAnsi="仿宋" w:eastAsia="仿宋" w:cs="仿宋"/>
          <w:sz w:val="32"/>
          <w:szCs w:val="32"/>
        </w:rPr>
      </w:pPr>
      <w:r>
        <w:rPr>
          <w:rFonts w:hint="eastAsia" w:ascii="仿宋" w:hAnsi="仿宋" w:eastAsia="仿宋" w:cs="仿宋"/>
          <w:sz w:val="32"/>
          <w:szCs w:val="32"/>
        </w:rPr>
        <w:t>（二）一般公共预算财政拨款具体使用安排情况</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社会保障和就业</w:t>
      </w:r>
      <w:r>
        <w:rPr>
          <w:rFonts w:hint="eastAsia" w:ascii="仿宋" w:hAnsi="仿宋" w:eastAsia="仿宋" w:cs="仿宋"/>
          <w:b w:val="0"/>
          <w:bCs w:val="0"/>
          <w:sz w:val="32"/>
          <w:szCs w:val="32"/>
          <w:lang w:eastAsia="zh-CN"/>
        </w:rPr>
        <w:t>支出</w:t>
      </w:r>
      <w:r>
        <w:rPr>
          <w:rFonts w:hint="eastAsia" w:ascii="仿宋" w:hAnsi="仿宋" w:eastAsia="仿宋" w:cs="仿宋"/>
          <w:b w:val="0"/>
          <w:bCs w:val="0"/>
          <w:sz w:val="32"/>
          <w:szCs w:val="32"/>
          <w:lang w:val="en-US" w:eastAsia="zh-CN"/>
        </w:rPr>
        <w:t>397.35</w:t>
      </w:r>
      <w:r>
        <w:rPr>
          <w:rFonts w:hint="eastAsia" w:ascii="仿宋" w:hAnsi="仿宋" w:eastAsia="仿宋" w:cs="仿宋"/>
          <w:b w:val="0"/>
          <w:bCs w:val="0"/>
          <w:sz w:val="32"/>
          <w:szCs w:val="32"/>
        </w:rPr>
        <w:t>万元，主要用</w:t>
      </w:r>
      <w:r>
        <w:rPr>
          <w:rFonts w:hint="eastAsia" w:ascii="仿宋" w:hAnsi="仿宋" w:eastAsia="仿宋" w:cs="仿宋"/>
          <w:b w:val="0"/>
          <w:bCs w:val="0"/>
          <w:sz w:val="32"/>
          <w:szCs w:val="32"/>
          <w:lang w:eastAsia="zh-CN"/>
        </w:rPr>
        <w:t>于在职人员的养老保险、职业年金社保缴纳以及离退休人员的补贴等；</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资源勘探工业信息等支出</w:t>
      </w:r>
      <w:r>
        <w:rPr>
          <w:rFonts w:hint="eastAsia" w:ascii="仿宋" w:hAnsi="仿宋" w:eastAsia="仿宋" w:cs="仿宋"/>
          <w:b w:val="0"/>
          <w:bCs w:val="0"/>
          <w:sz w:val="32"/>
          <w:szCs w:val="32"/>
          <w:lang w:val="en-US" w:eastAsia="zh-CN"/>
        </w:rPr>
        <w:t>108451.26</w:t>
      </w:r>
      <w:r>
        <w:rPr>
          <w:rFonts w:hint="eastAsia" w:ascii="仿宋" w:hAnsi="仿宋" w:eastAsia="仿宋" w:cs="仿宋"/>
          <w:b w:val="0"/>
          <w:bCs w:val="0"/>
          <w:sz w:val="32"/>
          <w:szCs w:val="32"/>
        </w:rPr>
        <w:t>万元，主要用于</w:t>
      </w:r>
      <w:r>
        <w:rPr>
          <w:rFonts w:hint="eastAsia" w:ascii="仿宋" w:hAnsi="仿宋" w:eastAsia="仿宋" w:cs="仿宋"/>
          <w:sz w:val="32"/>
          <w:szCs w:val="32"/>
          <w:lang w:eastAsia="zh-CN"/>
        </w:rPr>
        <w:t>办公楼及附属设施运行维护、信息化平台运行维护、工信厅综合业务运转保障、无线电监管</w:t>
      </w:r>
      <w:r>
        <w:rPr>
          <w:rFonts w:hint="eastAsia" w:ascii="仿宋" w:hAnsi="仿宋" w:eastAsia="仿宋" w:cs="仿宋"/>
          <w:b w:val="0"/>
          <w:bCs w:val="0"/>
          <w:sz w:val="32"/>
          <w:szCs w:val="32"/>
          <w:lang w:eastAsia="zh-CN"/>
        </w:rPr>
        <w:t>等支出；</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3、卫生健康支出类122.25万元，主要用于缴纳医疗保险、公务员医疗补贴等支出；</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b w:val="0"/>
          <w:bCs w:val="0"/>
          <w:sz w:val="32"/>
          <w:szCs w:val="32"/>
          <w:lang w:val="en-US" w:eastAsia="zh-CN"/>
        </w:rPr>
        <w:t>4、住房保障类136.43万元，主要用于缴纳在职人员住房公积金单位部分。</w:t>
      </w:r>
      <w:r>
        <w:rPr>
          <w:rFonts w:hint="eastAsia" w:ascii="仿宋" w:hAnsi="仿宋" w:eastAsia="仿宋" w:cs="仿宋"/>
          <w:b w:val="0"/>
          <w:bCs w:val="0"/>
          <w:sz w:val="32"/>
          <w:szCs w:val="32"/>
          <w:lang w:val="en-US" w:eastAsia="zh-CN"/>
        </w:rPr>
        <w:tab/>
      </w:r>
      <w:r>
        <w:rPr>
          <w:rFonts w:hint="eastAsia" w:ascii="仿宋" w:hAnsi="仿宋" w:eastAsia="仿宋" w:cs="仿宋"/>
          <w:b w:val="0"/>
          <w:bCs w:val="0"/>
          <w:sz w:val="32"/>
          <w:szCs w:val="32"/>
          <w:lang w:val="en-US" w:eastAsia="zh-CN"/>
        </w:rPr>
        <w:tab/>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三、政府性基金预算拨款支出预算的情况说明</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我单位无政府性基金财政拨款预算</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四、国有资本经营预算拨款支出预算的情况说明</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我单位无政府性基金财政拨款预算</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五、“三公经费”财政拨款支出预算的情况说明</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财政拨款“三公”经费支出预算</w:t>
      </w:r>
      <w:r>
        <w:rPr>
          <w:rFonts w:hint="eastAsia" w:ascii="仿宋" w:hAnsi="仿宋" w:eastAsia="仿宋" w:cs="仿宋"/>
          <w:sz w:val="32"/>
          <w:szCs w:val="32"/>
          <w:lang w:val="en-US" w:eastAsia="zh-CN"/>
        </w:rPr>
        <w:t>15</w:t>
      </w:r>
      <w:r>
        <w:rPr>
          <w:rFonts w:hint="eastAsia" w:ascii="仿宋" w:hAnsi="仿宋" w:eastAsia="仿宋" w:cs="仿宋"/>
          <w:sz w:val="32"/>
          <w:szCs w:val="32"/>
        </w:rPr>
        <w:t>万元</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1、因公出国（境）费用</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比</w:t>
      </w:r>
      <w:r>
        <w:rPr>
          <w:rFonts w:hint="eastAsia" w:ascii="仿宋" w:hAnsi="仿宋" w:eastAsia="仿宋" w:cs="仿宋"/>
          <w:sz w:val="32"/>
          <w:szCs w:val="32"/>
        </w:rPr>
        <w:t>上年预算</w:t>
      </w:r>
      <w:r>
        <w:rPr>
          <w:rFonts w:hint="eastAsia" w:ascii="仿宋" w:hAnsi="仿宋" w:eastAsia="仿宋" w:cs="仿宋"/>
          <w:sz w:val="32"/>
          <w:szCs w:val="32"/>
          <w:lang w:eastAsia="zh-CN"/>
        </w:rPr>
        <w:t>无变化；</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2、公务接待费</w:t>
      </w:r>
      <w:r>
        <w:rPr>
          <w:rFonts w:hint="eastAsia" w:ascii="仿宋" w:hAnsi="仿宋" w:eastAsia="仿宋" w:cs="仿宋"/>
          <w:sz w:val="32"/>
          <w:szCs w:val="32"/>
          <w:lang w:val="en-US" w:eastAsia="zh-CN"/>
        </w:rPr>
        <w:t>2</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主要是由于上年度中央巡视和各项检查较多，预计今年会比去年活动经费降低</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val="0"/>
        <w:snapToGrid/>
        <w:spacing w:line="240" w:lineRule="auto"/>
        <w:ind w:left="182" w:leftChars="76" w:firstLine="480" w:firstLineChars="150"/>
        <w:textAlignment w:val="auto"/>
        <w:rPr>
          <w:rFonts w:hint="eastAsia" w:ascii="仿宋" w:hAnsi="仿宋" w:eastAsia="仿宋" w:cs="仿宋"/>
          <w:sz w:val="32"/>
          <w:szCs w:val="32"/>
          <w:lang w:eastAsia="zh-CN"/>
        </w:rPr>
      </w:pPr>
      <w:r>
        <w:rPr>
          <w:rFonts w:hint="eastAsia" w:ascii="仿宋" w:hAnsi="仿宋" w:eastAsia="仿宋" w:cs="仿宋"/>
          <w:sz w:val="32"/>
          <w:szCs w:val="32"/>
        </w:rPr>
        <w:t>3、公务用车购置及运行维护费</w:t>
      </w:r>
      <w:r>
        <w:rPr>
          <w:rFonts w:hint="eastAsia" w:ascii="仿宋" w:hAnsi="仿宋" w:eastAsia="仿宋" w:cs="仿宋"/>
          <w:sz w:val="32"/>
          <w:szCs w:val="32"/>
          <w:lang w:val="en-US" w:eastAsia="zh-CN"/>
        </w:rPr>
        <w:t>13</w:t>
      </w:r>
      <w:r>
        <w:rPr>
          <w:rFonts w:hint="eastAsia" w:ascii="仿宋" w:hAnsi="仿宋" w:eastAsia="仿宋" w:cs="仿宋"/>
          <w:sz w:val="32"/>
          <w:szCs w:val="32"/>
        </w:rPr>
        <w:t>万元，其中，公务用车购置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与上年度相同</w:t>
      </w:r>
      <w:r>
        <w:rPr>
          <w:rFonts w:hint="eastAsia" w:ascii="仿宋" w:hAnsi="仿宋" w:eastAsia="仿宋" w:cs="仿宋"/>
          <w:sz w:val="32"/>
          <w:szCs w:val="32"/>
        </w:rPr>
        <w:t>；公务用车运行维护</w:t>
      </w:r>
      <w:r>
        <w:rPr>
          <w:rFonts w:hint="eastAsia" w:ascii="仿宋" w:hAnsi="仿宋" w:eastAsia="仿宋" w:cs="仿宋"/>
          <w:sz w:val="32"/>
          <w:szCs w:val="32"/>
          <w:lang w:val="en-US" w:eastAsia="zh-CN"/>
        </w:rPr>
        <w:t>13</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宋体" w:hAnsi="宋体" w:eastAsia="宋体" w:cs="宋体"/>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kern w:val="2"/>
          <w:sz w:val="32"/>
          <w:szCs w:val="32"/>
          <w:lang w:val="en-US" w:eastAsia="zh-CN" w:bidi="ar-SA"/>
        </w:rPr>
        <w:t>第三部分</w:t>
      </w:r>
      <w:r>
        <w:rPr>
          <w:rFonts w:hint="eastAsia" w:ascii="宋体" w:hAnsi="宋体" w:eastAsia="宋体" w:cs="宋体"/>
          <w:b/>
          <w:bCs/>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eastAsia" w:asciiTheme="majorEastAsia" w:hAnsiTheme="majorEastAsia" w:eastAsiaTheme="majorEastAsia" w:cstheme="majorEastAsia"/>
          <w:b/>
          <w:bCs/>
          <w:sz w:val="32"/>
          <w:szCs w:val="32"/>
          <w:lang w:val="en-US" w:eastAsia="zh-CN"/>
        </w:rPr>
      </w:pPr>
      <w:r>
        <w:rPr>
          <w:rFonts w:hint="eastAsia" w:ascii="宋体" w:hAnsi="宋体" w:cs="宋体"/>
          <w:b/>
          <w:bCs/>
          <w:sz w:val="32"/>
          <w:szCs w:val="32"/>
          <w:lang w:val="en-US" w:eastAsia="zh-CN"/>
        </w:rPr>
        <w:t>其他公开事项说明</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heme="majorEastAsia" w:hAnsiTheme="majorEastAsia" w:eastAsiaTheme="majorEastAsia" w:cstheme="major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一、机关运行经费安排情况说明</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机关运行经费，是指各部门的公用经费，包括办公及印刷费、邮电费、差旅费、会议费、福利费、日常维修费、专业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2025年，我厅机关运行经费财政拨款预算353.99万元，较上年增加的主要原因是差旅费及运维费用增加。</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二、“政府采购计划”预算情况说明</w:t>
      </w:r>
    </w:p>
    <w:p>
      <w:pPr>
        <w:keepNext w:val="0"/>
        <w:keepLines w:val="0"/>
        <w:pageBreakBefore w:val="0"/>
        <w:widowControl w:val="0"/>
        <w:kinsoku/>
        <w:wordWrap/>
        <w:overflowPunct/>
        <w:topLinePunct w:val="0"/>
        <w:autoSpaceDE/>
        <w:autoSpaceDN/>
        <w:bidi w:val="0"/>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政府采购预算总额</w:t>
      </w:r>
      <w:r>
        <w:rPr>
          <w:rFonts w:hint="eastAsia" w:ascii="仿宋" w:hAnsi="仿宋" w:eastAsia="仿宋" w:cs="仿宋"/>
          <w:sz w:val="32"/>
          <w:szCs w:val="32"/>
          <w:lang w:val="en-US" w:eastAsia="zh-CN"/>
        </w:rPr>
        <w:t>5286.96</w:t>
      </w:r>
      <w:r>
        <w:rPr>
          <w:rFonts w:hint="eastAsia" w:ascii="仿宋" w:hAnsi="仿宋" w:eastAsia="仿宋" w:cs="仿宋"/>
          <w:sz w:val="32"/>
          <w:szCs w:val="32"/>
        </w:rPr>
        <w:t>万元，其中：政府采购货物预算</w:t>
      </w:r>
      <w:r>
        <w:rPr>
          <w:rFonts w:hint="eastAsia" w:ascii="仿宋" w:hAnsi="仿宋" w:eastAsia="仿宋" w:cs="仿宋"/>
          <w:sz w:val="32"/>
          <w:szCs w:val="32"/>
          <w:lang w:val="en-US" w:eastAsia="zh-CN"/>
        </w:rPr>
        <w:t>3676</w:t>
      </w:r>
      <w:r>
        <w:rPr>
          <w:rFonts w:hint="eastAsia" w:ascii="仿宋" w:hAnsi="仿宋" w:eastAsia="仿宋" w:cs="仿宋"/>
          <w:sz w:val="32"/>
          <w:szCs w:val="32"/>
        </w:rPr>
        <w:t>万元，政府采购服务预算</w:t>
      </w:r>
      <w:r>
        <w:rPr>
          <w:rFonts w:hint="eastAsia" w:ascii="仿宋" w:hAnsi="仿宋" w:eastAsia="仿宋" w:cs="仿宋"/>
          <w:sz w:val="32"/>
          <w:szCs w:val="32"/>
          <w:lang w:val="en-US" w:eastAsia="zh-CN"/>
        </w:rPr>
        <w:t>1610.96</w:t>
      </w:r>
      <w:r>
        <w:rPr>
          <w:rFonts w:hint="eastAsia" w:ascii="仿宋" w:hAnsi="仿宋" w:eastAsia="仿宋" w:cs="仿宋"/>
          <w:sz w:val="32"/>
          <w:szCs w:val="32"/>
        </w:rPr>
        <w:t>万元。</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三、国有资产占有使用和增量情况说明</w:t>
      </w:r>
    </w:p>
    <w:tbl>
      <w:tblPr>
        <w:tblStyle w:val="3"/>
        <w:tblpPr w:leftFromText="180" w:rightFromText="180" w:vertAnchor="text" w:horzAnchor="page" w:tblpX="1315" w:tblpY="569"/>
        <w:tblOverlap w:val="never"/>
        <w:tblW w:w="95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094"/>
        <w:gridCol w:w="2102"/>
        <w:gridCol w:w="2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0" w:hRule="atLeast"/>
        </w:trPr>
        <w:tc>
          <w:tcPr>
            <w:tcW w:w="5094" w:type="dxa"/>
            <w:noWrap w:val="0"/>
            <w:vAlign w:val="center"/>
          </w:tcPr>
          <w:p>
            <w:pPr>
              <w:bidi w:val="0"/>
              <w:ind w:left="0" w:leftChars="0" w:firstLine="0" w:firstLineChars="0"/>
              <w:jc w:val="center"/>
              <w:rPr>
                <w:rFonts w:hint="eastAsia" w:ascii="仿宋" w:hAnsi="仿宋" w:eastAsia="仿宋" w:cs="仿宋"/>
                <w:sz w:val="32"/>
                <w:szCs w:val="32"/>
              </w:rPr>
            </w:pPr>
            <w:r>
              <w:rPr>
                <w:rFonts w:hint="eastAsia" w:ascii="仿宋" w:hAnsi="仿宋" w:eastAsia="仿宋" w:cs="仿宋"/>
                <w:sz w:val="32"/>
                <w:szCs w:val="32"/>
                <w:lang w:val="en-US" w:eastAsia="zh-CN"/>
              </w:rPr>
              <w:t>资产分类</w:t>
            </w:r>
          </w:p>
        </w:tc>
        <w:tc>
          <w:tcPr>
            <w:tcW w:w="2102" w:type="dxa"/>
            <w:noWrap w:val="0"/>
            <w:vAlign w:val="center"/>
          </w:tcPr>
          <w:p>
            <w:pPr>
              <w:bidi w:val="0"/>
              <w:jc w:val="both"/>
              <w:rPr>
                <w:rFonts w:hint="default" w:ascii="Times New Roman" w:hAnsi="Times New Roman" w:eastAsia="宋体" w:cs="Times New Roman"/>
                <w:kern w:val="2"/>
                <w:sz w:val="24"/>
                <w:szCs w:val="24"/>
                <w:lang w:val="en-US" w:eastAsia="zh-CN" w:bidi="ar-SA"/>
              </w:rPr>
            </w:pPr>
            <w:r>
              <w:rPr>
                <w:rFonts w:hint="eastAsia" w:ascii="仿宋" w:hAnsi="仿宋" w:eastAsia="仿宋" w:cs="仿宋"/>
                <w:sz w:val="32"/>
                <w:szCs w:val="32"/>
                <w:lang w:val="en-US" w:eastAsia="zh-CN"/>
              </w:rPr>
              <w:t>数量</w:t>
            </w:r>
          </w:p>
        </w:tc>
        <w:tc>
          <w:tcPr>
            <w:tcW w:w="2342" w:type="dxa"/>
            <w:noWrap w:val="0"/>
            <w:vAlign w:val="center"/>
          </w:tcPr>
          <w:p>
            <w:pPr>
              <w:tabs>
                <w:tab w:val="center" w:pos="1275"/>
              </w:tabs>
              <w:bidi w:val="0"/>
              <w:ind w:left="0" w:leftChars="0" w:firstLine="0" w:firstLineChars="0"/>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5" w:hRule="atLeast"/>
        </w:trPr>
        <w:tc>
          <w:tcPr>
            <w:tcW w:w="5094" w:type="dxa"/>
            <w:noWrap w:val="0"/>
            <w:vAlign w:val="center"/>
          </w:tcPr>
          <w:p>
            <w:pPr>
              <w:bidi w:val="0"/>
              <w:ind w:left="0" w:leftChars="0" w:firstLine="0" w:firstLineChars="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公务用车</w:t>
            </w:r>
          </w:p>
        </w:tc>
        <w:tc>
          <w:tcPr>
            <w:tcW w:w="2102" w:type="dxa"/>
            <w:noWrap w:val="0"/>
            <w:vAlign w:val="center"/>
          </w:tcPr>
          <w:p>
            <w:pPr>
              <w:bidi w:val="0"/>
              <w:ind w:left="0" w:leftChars="0" w:firstLine="0" w:firstLineChars="0"/>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w:t>
            </w:r>
          </w:p>
        </w:tc>
        <w:tc>
          <w:tcPr>
            <w:tcW w:w="2342" w:type="dxa"/>
            <w:noWrap w:val="0"/>
            <w:vAlign w:val="center"/>
          </w:tcPr>
          <w:p>
            <w:pPr>
              <w:bidi w:val="0"/>
              <w:ind w:left="0" w:leftChars="0" w:firstLine="0" w:firstLineChars="0"/>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57万元</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heme="majorEastAsia" w:hAnsiTheme="majorEastAsia" w:eastAsiaTheme="majorEastAsia" w:cstheme="major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四、部门组织征收收入计划</w:t>
      </w:r>
    </w:p>
    <w:tbl>
      <w:tblPr>
        <w:tblStyle w:val="3"/>
        <w:tblW w:w="98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326"/>
        <w:gridCol w:w="3277"/>
        <w:gridCol w:w="2055"/>
        <w:gridCol w:w="2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1" w:hRule="atLeast"/>
          <w:jc w:val="center"/>
        </w:trPr>
        <w:tc>
          <w:tcPr>
            <w:tcW w:w="2326" w:type="dxa"/>
            <w:noWrap w:val="0"/>
            <w:vAlign w:val="center"/>
          </w:tcPr>
          <w:p>
            <w:pPr>
              <w:bidi w:val="0"/>
              <w:ind w:left="0" w:leftChars="0" w:firstLine="0" w:firstLineChars="0"/>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预算单位</w:t>
            </w:r>
          </w:p>
        </w:tc>
        <w:tc>
          <w:tcPr>
            <w:tcW w:w="3277" w:type="dxa"/>
            <w:noWrap w:val="0"/>
            <w:vAlign w:val="center"/>
          </w:tcPr>
          <w:p>
            <w:pPr>
              <w:bidi w:val="0"/>
              <w:ind w:left="0" w:leftChars="0" w:firstLine="0" w:firstLineChars="0"/>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收费项目</w:t>
            </w:r>
          </w:p>
        </w:tc>
        <w:tc>
          <w:tcPr>
            <w:tcW w:w="2055" w:type="dxa"/>
            <w:noWrap w:val="0"/>
            <w:vAlign w:val="center"/>
          </w:tcPr>
          <w:p>
            <w:pPr>
              <w:bidi w:val="0"/>
              <w:ind w:left="0" w:leftChars="0" w:firstLine="0" w:firstLineChars="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收入分类科目</w:t>
            </w:r>
          </w:p>
        </w:tc>
        <w:tc>
          <w:tcPr>
            <w:tcW w:w="2181" w:type="dxa"/>
            <w:noWrap w:val="0"/>
            <w:vAlign w:val="center"/>
          </w:tcPr>
          <w:p>
            <w:pPr>
              <w:bidi w:val="0"/>
              <w:ind w:left="0" w:leftChars="0" w:firstLine="0" w:firstLineChars="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2" w:hRule="atLeast"/>
          <w:jc w:val="center"/>
        </w:trPr>
        <w:tc>
          <w:tcPr>
            <w:tcW w:w="2326" w:type="dxa"/>
            <w:noWrap w:val="0"/>
            <w:vAlign w:val="center"/>
          </w:tcPr>
          <w:p>
            <w:pPr>
              <w:bidi w:val="0"/>
              <w:ind w:left="0" w:leftChars="0" w:firstLine="0" w:firstLineChars="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无线电管理机构</w:t>
            </w:r>
          </w:p>
        </w:tc>
        <w:tc>
          <w:tcPr>
            <w:tcW w:w="3277" w:type="dxa"/>
            <w:noWrap w:val="0"/>
            <w:vAlign w:val="center"/>
          </w:tcPr>
          <w:p>
            <w:pPr>
              <w:bidi w:val="0"/>
              <w:ind w:left="0" w:leftChars="0" w:firstLine="0" w:firstLineChars="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无线电频率占用费</w:t>
            </w:r>
          </w:p>
        </w:tc>
        <w:tc>
          <w:tcPr>
            <w:tcW w:w="2055" w:type="dxa"/>
            <w:noWrap w:val="0"/>
            <w:vAlign w:val="center"/>
          </w:tcPr>
          <w:p>
            <w:pPr>
              <w:bidi w:val="0"/>
              <w:ind w:left="0" w:leftChars="0" w:firstLine="0" w:firstLineChars="0"/>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2150508</w:t>
            </w:r>
          </w:p>
        </w:tc>
        <w:tc>
          <w:tcPr>
            <w:tcW w:w="2181" w:type="dxa"/>
            <w:noWrap w:val="0"/>
            <w:vAlign w:val="center"/>
          </w:tcPr>
          <w:p>
            <w:pPr>
              <w:bidi w:val="0"/>
              <w:ind w:left="0" w:leftChars="0" w:firstLine="0" w:firstLineChars="0"/>
              <w:jc w:val="center"/>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220万元</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宋体" w:hAnsi="宋体" w:eastAsia="宋体" w:cs="宋体"/>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宋体" w:hAnsi="宋体" w:eastAsia="宋体" w:cs="宋体"/>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outlineLvl w:val="9"/>
        <w:rPr>
          <w:rFonts w:hint="eastAsia" w:asciiTheme="majorEastAsia" w:hAnsiTheme="majorEastAsia" w:eastAsiaTheme="majorEastAsia" w:cstheme="majorEastAsia"/>
          <w:b/>
          <w:bCs/>
          <w:sz w:val="32"/>
          <w:szCs w:val="32"/>
          <w:lang w:val="en-US" w:eastAsia="zh-CN"/>
        </w:rPr>
      </w:pPr>
      <w:r>
        <w:rPr>
          <w:rFonts w:hint="eastAsia" w:ascii="宋体" w:hAnsi="宋体" w:eastAsia="宋体" w:cs="宋体"/>
          <w:b/>
          <w:bCs/>
          <w:kern w:val="2"/>
          <w:sz w:val="32"/>
          <w:szCs w:val="32"/>
          <w:lang w:val="en-US" w:eastAsia="zh-CN" w:bidi="ar-SA"/>
        </w:rPr>
        <w:t>第</w:t>
      </w:r>
      <w:r>
        <w:rPr>
          <w:rFonts w:hint="eastAsia" w:ascii="宋体" w:hAnsi="宋体" w:cs="宋体"/>
          <w:b/>
          <w:bCs/>
          <w:kern w:val="2"/>
          <w:sz w:val="32"/>
          <w:szCs w:val="32"/>
          <w:lang w:val="en-US" w:eastAsia="zh-CN" w:bidi="ar-SA"/>
        </w:rPr>
        <w:t>四</w:t>
      </w:r>
      <w:r>
        <w:rPr>
          <w:rFonts w:hint="eastAsia" w:ascii="宋体" w:hAnsi="宋体" w:eastAsia="宋体" w:cs="宋体"/>
          <w:b/>
          <w:bCs/>
          <w:kern w:val="2"/>
          <w:sz w:val="32"/>
          <w:szCs w:val="32"/>
          <w:lang w:val="en-US" w:eastAsia="zh-CN" w:bidi="ar-SA"/>
        </w:rPr>
        <w:t>部分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cs="宋体"/>
          <w:b/>
          <w:bCs/>
          <w:sz w:val="32"/>
          <w:szCs w:val="32"/>
          <w:lang w:val="en-US" w:eastAsia="zh-CN"/>
        </w:rPr>
      </w:pPr>
      <w:r>
        <w:rPr>
          <w:rFonts w:hint="eastAsia" w:ascii="宋体" w:hAnsi="宋体" w:cs="宋体"/>
          <w:b/>
          <w:bCs/>
          <w:sz w:val="32"/>
          <w:szCs w:val="32"/>
          <w:lang w:val="en-US" w:eastAsia="zh-CN"/>
        </w:rPr>
        <w:t>名词解释</w:t>
      </w:r>
    </w:p>
    <w:p>
      <w:pPr>
        <w:snapToGrid w:val="0"/>
        <w:spacing w:line="56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一、一般公共预算财政拨款收入：是指自治区财政当年拨付的资金。</w:t>
      </w:r>
    </w:p>
    <w:p>
      <w:pPr>
        <w:snapToGrid w:val="0"/>
        <w:spacing w:line="56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二、事业收入：是指事业单位开展专业业务活动及辅助活动所取得的收入。</w:t>
      </w:r>
    </w:p>
    <w:p>
      <w:pPr>
        <w:snapToGrid w:val="0"/>
        <w:spacing w:line="560" w:lineRule="exact"/>
        <w:ind w:firstLine="645"/>
        <w:rPr>
          <w:rFonts w:hint="eastAsia" w:ascii="仿宋" w:hAnsi="仿宋" w:eastAsia="仿宋" w:cs="仿宋"/>
          <w:color w:val="000000"/>
          <w:sz w:val="32"/>
          <w:szCs w:val="32"/>
        </w:rPr>
      </w:pPr>
      <w:r>
        <w:rPr>
          <w:rFonts w:hint="eastAsia" w:ascii="仿宋" w:hAnsi="仿宋" w:eastAsia="仿宋" w:cs="仿宋"/>
          <w:color w:val="000000"/>
          <w:sz w:val="32"/>
          <w:szCs w:val="32"/>
        </w:rPr>
        <w:t>三、事业单位经营收入：是指事业单位在专业业务活动及其辅助活动之外开展非独立核算经营活动取得的收入。</w:t>
      </w:r>
    </w:p>
    <w:p>
      <w:pPr>
        <w:snapToGrid w:val="0"/>
        <w:spacing w:line="560" w:lineRule="exact"/>
        <w:ind w:firstLine="645"/>
        <w:rPr>
          <w:rFonts w:hint="eastAsia" w:ascii="仿宋" w:hAnsi="仿宋" w:eastAsia="仿宋" w:cs="仿宋"/>
          <w:color w:val="000000"/>
          <w:sz w:val="32"/>
          <w:szCs w:val="32"/>
        </w:rPr>
      </w:pPr>
      <w:r>
        <w:rPr>
          <w:rFonts w:hint="eastAsia" w:ascii="仿宋" w:hAnsi="仿宋" w:eastAsia="仿宋" w:cs="仿宋"/>
          <w:color w:val="000000"/>
          <w:sz w:val="32"/>
          <w:szCs w:val="32"/>
        </w:rPr>
        <w:t>四、其他收入 ：是指除上述“一般公共预算财政拨款收入”、“事业收入”、“事业单位经营收入”等以外的收入。主要是指按规定动用的售房收入、存款利息收入等。</w:t>
      </w:r>
    </w:p>
    <w:p>
      <w:pPr>
        <w:snapToGrid w:val="0"/>
        <w:spacing w:line="560" w:lineRule="exact"/>
        <w:ind w:firstLine="645"/>
        <w:rPr>
          <w:rFonts w:hint="eastAsia" w:ascii="仿宋" w:hAnsi="仿宋" w:eastAsia="仿宋" w:cs="仿宋"/>
          <w:color w:val="000000"/>
          <w:sz w:val="32"/>
          <w:szCs w:val="32"/>
        </w:rPr>
      </w:pPr>
      <w:r>
        <w:rPr>
          <w:rFonts w:hint="eastAsia" w:ascii="仿宋" w:hAnsi="仿宋" w:eastAsia="仿宋" w:cs="仿宋"/>
          <w:color w:val="000000"/>
          <w:sz w:val="32"/>
          <w:szCs w:val="32"/>
        </w:rPr>
        <w:t>五、用事业基金弥补收支差额：是指事业单位在预计用当年的“一般公共预算财政拨款收入”、“财政拨款结转和结余资金”、“事业收入” 、“事业单位经营收入”、“其他收入”不足以安排当年支出的情况下，使用以前年度积累的事业基金（事业单位当年收支相抵后按国家规定提取、用于弥补以后年度收支差额的基金）弥补本年收支缺口的资金。</w:t>
      </w:r>
    </w:p>
    <w:p>
      <w:pPr>
        <w:snapToGrid w:val="0"/>
        <w:spacing w:line="560" w:lineRule="exact"/>
        <w:ind w:firstLine="645"/>
        <w:rPr>
          <w:rFonts w:hint="eastAsia" w:ascii="仿宋" w:hAnsi="仿宋" w:eastAsia="仿宋" w:cs="仿宋"/>
          <w:color w:val="000000"/>
          <w:sz w:val="32"/>
          <w:szCs w:val="32"/>
        </w:rPr>
      </w:pPr>
      <w:r>
        <w:rPr>
          <w:rFonts w:hint="eastAsia" w:ascii="仿宋" w:hAnsi="仿宋" w:eastAsia="仿宋" w:cs="仿宋"/>
          <w:color w:val="000000"/>
          <w:sz w:val="32"/>
          <w:szCs w:val="32"/>
        </w:rPr>
        <w:t>六、上年结转和结余：是指以前年度尚未完成、结转到本年仍按原规定用途继续使用的资金。</w:t>
      </w:r>
    </w:p>
    <w:p>
      <w:pPr>
        <w:snapToGrid w:val="0"/>
        <w:spacing w:line="560" w:lineRule="exact"/>
        <w:ind w:firstLine="645"/>
        <w:rPr>
          <w:rFonts w:hint="eastAsia" w:ascii="仿宋" w:hAnsi="仿宋" w:eastAsia="仿宋" w:cs="仿宋"/>
          <w:sz w:val="32"/>
          <w:szCs w:val="32"/>
        </w:rPr>
      </w:pPr>
      <w:r>
        <w:rPr>
          <w:rFonts w:hint="eastAsia" w:ascii="仿宋" w:hAnsi="仿宋" w:eastAsia="仿宋" w:cs="仿宋"/>
          <w:sz w:val="32"/>
          <w:szCs w:val="32"/>
        </w:rPr>
        <w:t>七、基本支出：是指为保障机构正常运转，完成日常工作任务而发生的人员支出和共用支出。</w:t>
      </w:r>
    </w:p>
    <w:p>
      <w:pPr>
        <w:snapToGrid w:val="0"/>
        <w:spacing w:line="560" w:lineRule="exact"/>
        <w:ind w:firstLine="645"/>
        <w:rPr>
          <w:rFonts w:hint="eastAsia" w:ascii="仿宋" w:hAnsi="仿宋" w:eastAsia="仿宋" w:cs="仿宋"/>
          <w:sz w:val="32"/>
          <w:szCs w:val="32"/>
        </w:rPr>
      </w:pPr>
      <w:r>
        <w:rPr>
          <w:rFonts w:hint="eastAsia" w:ascii="仿宋" w:hAnsi="仿宋" w:eastAsia="仿宋" w:cs="仿宋"/>
          <w:sz w:val="32"/>
          <w:szCs w:val="32"/>
        </w:rPr>
        <w:t>八、项目支出：是指基本支出之外，为完成特定行政任务和事业发展目标所发生的支出。</w:t>
      </w:r>
    </w:p>
    <w:p>
      <w:pPr>
        <w:snapToGrid w:val="0"/>
        <w:spacing w:line="560" w:lineRule="exact"/>
        <w:ind w:firstLine="645"/>
        <w:rPr>
          <w:rFonts w:hint="eastAsia" w:ascii="仿宋" w:hAnsi="仿宋" w:eastAsia="仿宋" w:cs="仿宋"/>
          <w:sz w:val="32"/>
          <w:szCs w:val="32"/>
        </w:rPr>
      </w:pPr>
      <w:r>
        <w:rPr>
          <w:rFonts w:hint="eastAsia" w:ascii="仿宋" w:hAnsi="仿宋" w:eastAsia="仿宋" w:cs="仿宋"/>
          <w:sz w:val="32"/>
          <w:szCs w:val="32"/>
        </w:rPr>
        <w:t>九、“三公”经费：纳入财政预决算管理的“三公”经费，是指部门用财政拨款安排的因公出国（境）费、公务用车购置及运行维护费、公务接待费。其中：因公出国（境）费反映单位公务出国（境）的国际旅费、国内城市间交通费、住宿费、伙食费、培训费、公杂费等支出；公务用车购置费反映单位公务员车购置支出（含车辆购置税）；公务用车运行维护费反映单位按规定保留的公务用车燃料费、维修费、保险费、过路过桥费、安全奖励费用等支出；公务接待费反映单位按规定开支的各类公务接待（含外宾接待）支出。</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机关运行经费：是指为保障行政单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十一、工资福利支出（支出经济分类科目类级）：反映单位开支的在职职工和编制外长期聘用人员的各类活动报酬，以及为上述人员缴纳的各项社会保险费等。</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十二、商品和服务支出（支出经济分类科目类级）：反映单位购买商品和服务的支出（不包括用于购置固定资产的支出、战略性和应急储备支出）。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cs="宋体"/>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outlineLvl w:val="9"/>
        <w:rPr>
          <w:rFonts w:hint="eastAsia" w:asciiTheme="majorEastAsia" w:hAnsiTheme="majorEastAsia" w:eastAsiaTheme="majorEastAsia" w:cstheme="majorEastAsia"/>
          <w:b/>
          <w:bCs/>
          <w:sz w:val="32"/>
          <w:szCs w:val="32"/>
          <w:lang w:val="en-US" w:eastAsia="zh-CN"/>
        </w:rPr>
      </w:pPr>
      <w:r>
        <w:rPr>
          <w:rFonts w:hint="eastAsia" w:ascii="宋体" w:hAnsi="宋体" w:eastAsia="宋体" w:cs="宋体"/>
          <w:b/>
          <w:bCs/>
          <w:kern w:val="2"/>
          <w:sz w:val="32"/>
          <w:szCs w:val="32"/>
          <w:lang w:val="en-US" w:eastAsia="zh-CN" w:bidi="ar-SA"/>
        </w:rPr>
        <w:t>第</w:t>
      </w:r>
      <w:r>
        <w:rPr>
          <w:rFonts w:hint="eastAsia" w:ascii="宋体" w:hAnsi="宋体" w:cs="宋体"/>
          <w:b/>
          <w:bCs/>
          <w:kern w:val="2"/>
          <w:sz w:val="32"/>
          <w:szCs w:val="32"/>
          <w:lang w:val="en-US" w:eastAsia="zh-CN" w:bidi="ar-SA"/>
        </w:rPr>
        <w:t>五</w:t>
      </w:r>
      <w:r>
        <w:rPr>
          <w:rFonts w:hint="eastAsia" w:ascii="宋体" w:hAnsi="宋体" w:eastAsia="宋体" w:cs="宋体"/>
          <w:b/>
          <w:bCs/>
          <w:kern w:val="2"/>
          <w:sz w:val="32"/>
          <w:szCs w:val="32"/>
          <w:lang w:val="en-US" w:eastAsia="zh-CN" w:bidi="ar-SA"/>
        </w:rPr>
        <w:t>部分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outlineLvl w:val="9"/>
        <w:rPr>
          <w:rFonts w:hint="eastAsia" w:asciiTheme="majorEastAsia" w:hAnsiTheme="majorEastAsia" w:eastAsiaTheme="majorEastAsia" w:cstheme="majorEastAsia"/>
          <w:b/>
          <w:bCs/>
          <w:sz w:val="32"/>
          <w:szCs w:val="32"/>
          <w:lang w:val="en-US" w:eastAsia="zh-CN"/>
        </w:rPr>
      </w:pPr>
      <w:r>
        <w:rPr>
          <w:rFonts w:hint="eastAsia" w:ascii="宋体" w:hAnsi="宋体" w:cs="宋体"/>
          <w:b/>
          <w:bCs/>
          <w:sz w:val="32"/>
          <w:szCs w:val="32"/>
          <w:lang w:val="en-US" w:eastAsia="zh-CN"/>
        </w:rPr>
        <w:t>部门预算公开表</w:t>
      </w:r>
    </w:p>
    <w:p>
      <w:pPr>
        <w:keepNext w:val="0"/>
        <w:keepLines w:val="0"/>
        <w:widowControl/>
        <w:suppressLineNumbers w:val="0"/>
        <w:jc w:val="left"/>
        <w:rPr>
          <w:rFonts w:hint="eastAsia" w:ascii="仿宋" w:hAnsi="仿宋" w:eastAsia="仿宋" w:cs="仿宋"/>
          <w:sz w:val="32"/>
          <w:szCs w:val="32"/>
          <w:lang w:val="en-US" w:eastAsia="zh-CN"/>
        </w:rPr>
      </w:pPr>
    </w:p>
    <w:p>
      <w:pPr>
        <w:keepNext w:val="0"/>
        <w:keepLines w:val="0"/>
        <w:widowControl/>
        <w:suppressLineNumbers w:val="0"/>
        <w:jc w:val="left"/>
        <w:rPr>
          <w:rFonts w:hint="eastAsia" w:ascii="仿宋" w:hAnsi="仿宋" w:eastAsia="仿宋" w:cs="仿宋"/>
          <w:sz w:val="32"/>
          <w:szCs w:val="32"/>
          <w:lang w:val="en-US" w:eastAsia="zh-CN"/>
        </w:rPr>
      </w:pPr>
    </w:p>
    <w:p>
      <w:pPr>
        <w:adjustRightInd w:val="0"/>
        <w:snapToGrid w:val="0"/>
        <w:spacing w:line="560" w:lineRule="exact"/>
        <w:ind w:left="0"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备注：1、预算公开表见附件</w:t>
      </w:r>
    </w:p>
    <w:p>
      <w:pPr>
        <w:adjustRightInd w:val="0"/>
        <w:snapToGrid w:val="0"/>
        <w:spacing w:line="560" w:lineRule="exact"/>
        <w:ind w:left="1916" w:leftChars="665" w:hanging="320" w:hangingChars="1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2、按预算公开编制要求，预算公开报告及公开表的计数单位为万元，而预算编制是以元为计数单位，因此小数点后第二位存在四舍五入的差异。</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1ZWI1ZjcwOTA1Y2QxOTNjZWY5NmFlYTQyYmRjYzkifQ=="/>
  </w:docVars>
  <w:rsids>
    <w:rsidRoot w:val="00172A27"/>
    <w:rsid w:val="0002500C"/>
    <w:rsid w:val="003F23CE"/>
    <w:rsid w:val="00817C7C"/>
    <w:rsid w:val="00CE11C6"/>
    <w:rsid w:val="00E57791"/>
    <w:rsid w:val="00EB58F1"/>
    <w:rsid w:val="00F13B71"/>
    <w:rsid w:val="00F86BD8"/>
    <w:rsid w:val="015358A1"/>
    <w:rsid w:val="0169037A"/>
    <w:rsid w:val="019A37DB"/>
    <w:rsid w:val="01DF2BB7"/>
    <w:rsid w:val="01ED29DF"/>
    <w:rsid w:val="0209026D"/>
    <w:rsid w:val="025830ED"/>
    <w:rsid w:val="02B56978"/>
    <w:rsid w:val="02E940E4"/>
    <w:rsid w:val="03295794"/>
    <w:rsid w:val="03347010"/>
    <w:rsid w:val="037B747C"/>
    <w:rsid w:val="03AC5C73"/>
    <w:rsid w:val="03C51AA4"/>
    <w:rsid w:val="03F03CCE"/>
    <w:rsid w:val="042123E7"/>
    <w:rsid w:val="04671024"/>
    <w:rsid w:val="050C7A05"/>
    <w:rsid w:val="051A51B8"/>
    <w:rsid w:val="05A6512B"/>
    <w:rsid w:val="063A2179"/>
    <w:rsid w:val="06535650"/>
    <w:rsid w:val="06555A5A"/>
    <w:rsid w:val="07100621"/>
    <w:rsid w:val="0753082F"/>
    <w:rsid w:val="07600B39"/>
    <w:rsid w:val="07632917"/>
    <w:rsid w:val="07956EB7"/>
    <w:rsid w:val="07F449A6"/>
    <w:rsid w:val="0877497F"/>
    <w:rsid w:val="08AC10A9"/>
    <w:rsid w:val="08DA2EA3"/>
    <w:rsid w:val="08E04DEA"/>
    <w:rsid w:val="092F4832"/>
    <w:rsid w:val="09456F67"/>
    <w:rsid w:val="097035F9"/>
    <w:rsid w:val="097F3883"/>
    <w:rsid w:val="09821A03"/>
    <w:rsid w:val="098B6804"/>
    <w:rsid w:val="0A391333"/>
    <w:rsid w:val="0AA50E2F"/>
    <w:rsid w:val="0AA6727C"/>
    <w:rsid w:val="0AC05463"/>
    <w:rsid w:val="0AD97118"/>
    <w:rsid w:val="0AEE1997"/>
    <w:rsid w:val="0B0259FF"/>
    <w:rsid w:val="0B115838"/>
    <w:rsid w:val="0B420AEA"/>
    <w:rsid w:val="0BBF2E48"/>
    <w:rsid w:val="0BC70C0A"/>
    <w:rsid w:val="0BC817E1"/>
    <w:rsid w:val="0BCE6852"/>
    <w:rsid w:val="0BEA54A6"/>
    <w:rsid w:val="0C284A48"/>
    <w:rsid w:val="0C3D305A"/>
    <w:rsid w:val="0C912AF9"/>
    <w:rsid w:val="0CB963C1"/>
    <w:rsid w:val="0D247F78"/>
    <w:rsid w:val="0D2E4E0F"/>
    <w:rsid w:val="0D3C0CD1"/>
    <w:rsid w:val="0DEB13DD"/>
    <w:rsid w:val="0DFC545B"/>
    <w:rsid w:val="0E0C1122"/>
    <w:rsid w:val="0E797AC2"/>
    <w:rsid w:val="0E7B41E7"/>
    <w:rsid w:val="0EA83E98"/>
    <w:rsid w:val="0F081333"/>
    <w:rsid w:val="0F0927A3"/>
    <w:rsid w:val="0F1008A4"/>
    <w:rsid w:val="0F1B056F"/>
    <w:rsid w:val="0F566B52"/>
    <w:rsid w:val="0FEC0C91"/>
    <w:rsid w:val="0FF5179F"/>
    <w:rsid w:val="10883F67"/>
    <w:rsid w:val="10946959"/>
    <w:rsid w:val="10B46D28"/>
    <w:rsid w:val="11471180"/>
    <w:rsid w:val="118A09AF"/>
    <w:rsid w:val="11917DAE"/>
    <w:rsid w:val="11B3097A"/>
    <w:rsid w:val="11C346FF"/>
    <w:rsid w:val="11F0044E"/>
    <w:rsid w:val="12082FE5"/>
    <w:rsid w:val="129E1223"/>
    <w:rsid w:val="12B7265B"/>
    <w:rsid w:val="12F8536A"/>
    <w:rsid w:val="135107D4"/>
    <w:rsid w:val="13C723C5"/>
    <w:rsid w:val="13E75309"/>
    <w:rsid w:val="1416199A"/>
    <w:rsid w:val="14A35726"/>
    <w:rsid w:val="151F6E6D"/>
    <w:rsid w:val="153935D8"/>
    <w:rsid w:val="154F1B9F"/>
    <w:rsid w:val="15B95A59"/>
    <w:rsid w:val="15C8778C"/>
    <w:rsid w:val="16150B7E"/>
    <w:rsid w:val="16264D1F"/>
    <w:rsid w:val="16BB0A11"/>
    <w:rsid w:val="171667D3"/>
    <w:rsid w:val="17424B58"/>
    <w:rsid w:val="17910A90"/>
    <w:rsid w:val="17E34984"/>
    <w:rsid w:val="181F4C6E"/>
    <w:rsid w:val="18410DA8"/>
    <w:rsid w:val="18680801"/>
    <w:rsid w:val="187C632C"/>
    <w:rsid w:val="18C97953"/>
    <w:rsid w:val="18D8782D"/>
    <w:rsid w:val="18EB2595"/>
    <w:rsid w:val="19055D69"/>
    <w:rsid w:val="19141913"/>
    <w:rsid w:val="191750EC"/>
    <w:rsid w:val="1960119B"/>
    <w:rsid w:val="19942E61"/>
    <w:rsid w:val="19B02787"/>
    <w:rsid w:val="19FB26DA"/>
    <w:rsid w:val="1A2F0955"/>
    <w:rsid w:val="1A620741"/>
    <w:rsid w:val="1AE02592"/>
    <w:rsid w:val="1B0165C9"/>
    <w:rsid w:val="1B092C9F"/>
    <w:rsid w:val="1B332B6A"/>
    <w:rsid w:val="1B5A5061"/>
    <w:rsid w:val="1B851185"/>
    <w:rsid w:val="1B8E63BA"/>
    <w:rsid w:val="1BC933DC"/>
    <w:rsid w:val="1C097D46"/>
    <w:rsid w:val="1C320E66"/>
    <w:rsid w:val="1C5A1287"/>
    <w:rsid w:val="1CB164B9"/>
    <w:rsid w:val="1D02380A"/>
    <w:rsid w:val="1DE57CB9"/>
    <w:rsid w:val="1E48774E"/>
    <w:rsid w:val="1E6B3FC4"/>
    <w:rsid w:val="1EA123DE"/>
    <w:rsid w:val="1EA50D3B"/>
    <w:rsid w:val="1ED0381D"/>
    <w:rsid w:val="1EDE6EF7"/>
    <w:rsid w:val="1F474DE3"/>
    <w:rsid w:val="1F59183B"/>
    <w:rsid w:val="1F72323A"/>
    <w:rsid w:val="1F9E1EE8"/>
    <w:rsid w:val="1FCD5494"/>
    <w:rsid w:val="1FDB75C6"/>
    <w:rsid w:val="200710B0"/>
    <w:rsid w:val="201947E5"/>
    <w:rsid w:val="20455988"/>
    <w:rsid w:val="20686A72"/>
    <w:rsid w:val="20B42D9D"/>
    <w:rsid w:val="20B61DE1"/>
    <w:rsid w:val="213925E9"/>
    <w:rsid w:val="21482EC5"/>
    <w:rsid w:val="21621941"/>
    <w:rsid w:val="21732A0C"/>
    <w:rsid w:val="21B01310"/>
    <w:rsid w:val="221D3069"/>
    <w:rsid w:val="227F4EDE"/>
    <w:rsid w:val="22AC3736"/>
    <w:rsid w:val="231E0E86"/>
    <w:rsid w:val="23773224"/>
    <w:rsid w:val="237C370A"/>
    <w:rsid w:val="23B3277C"/>
    <w:rsid w:val="23B9674A"/>
    <w:rsid w:val="242B3817"/>
    <w:rsid w:val="244A4D1A"/>
    <w:rsid w:val="246D21D5"/>
    <w:rsid w:val="24733F80"/>
    <w:rsid w:val="24BD2F2C"/>
    <w:rsid w:val="251C5F5A"/>
    <w:rsid w:val="25525D80"/>
    <w:rsid w:val="25993D1B"/>
    <w:rsid w:val="25994027"/>
    <w:rsid w:val="259B2951"/>
    <w:rsid w:val="25C13345"/>
    <w:rsid w:val="26193912"/>
    <w:rsid w:val="26217CFD"/>
    <w:rsid w:val="26977E3C"/>
    <w:rsid w:val="26A3260F"/>
    <w:rsid w:val="26B16FBE"/>
    <w:rsid w:val="26CA57C0"/>
    <w:rsid w:val="26E94B19"/>
    <w:rsid w:val="27192607"/>
    <w:rsid w:val="279F1274"/>
    <w:rsid w:val="28856A2D"/>
    <w:rsid w:val="2886733F"/>
    <w:rsid w:val="28B974D7"/>
    <w:rsid w:val="28CD2EC6"/>
    <w:rsid w:val="28CE1906"/>
    <w:rsid w:val="29995172"/>
    <w:rsid w:val="29AC1283"/>
    <w:rsid w:val="29D53111"/>
    <w:rsid w:val="2A73489F"/>
    <w:rsid w:val="2AA47CD5"/>
    <w:rsid w:val="2ADC1299"/>
    <w:rsid w:val="2AE757FB"/>
    <w:rsid w:val="2BD81239"/>
    <w:rsid w:val="2BE56461"/>
    <w:rsid w:val="2BE75DCA"/>
    <w:rsid w:val="2BF85692"/>
    <w:rsid w:val="2C0256C6"/>
    <w:rsid w:val="2C522B76"/>
    <w:rsid w:val="2CCB2AD1"/>
    <w:rsid w:val="2CF3789E"/>
    <w:rsid w:val="2D0D3281"/>
    <w:rsid w:val="2D0D5C2B"/>
    <w:rsid w:val="2D9A478D"/>
    <w:rsid w:val="2DCD77AA"/>
    <w:rsid w:val="2E0B249C"/>
    <w:rsid w:val="2E193A2F"/>
    <w:rsid w:val="2E3738D4"/>
    <w:rsid w:val="2E803BB2"/>
    <w:rsid w:val="2EF23A77"/>
    <w:rsid w:val="2F560F80"/>
    <w:rsid w:val="2F98708D"/>
    <w:rsid w:val="301F5C98"/>
    <w:rsid w:val="30397808"/>
    <w:rsid w:val="30AF76EF"/>
    <w:rsid w:val="30DC78E7"/>
    <w:rsid w:val="31DB385B"/>
    <w:rsid w:val="31DD756F"/>
    <w:rsid w:val="32162B6A"/>
    <w:rsid w:val="322466F2"/>
    <w:rsid w:val="322B447F"/>
    <w:rsid w:val="32A8762A"/>
    <w:rsid w:val="33011313"/>
    <w:rsid w:val="33154745"/>
    <w:rsid w:val="335727B4"/>
    <w:rsid w:val="337E2856"/>
    <w:rsid w:val="33966C57"/>
    <w:rsid w:val="33D0750F"/>
    <w:rsid w:val="33EC2CEC"/>
    <w:rsid w:val="342F5C51"/>
    <w:rsid w:val="343F1D23"/>
    <w:rsid w:val="346F2A37"/>
    <w:rsid w:val="351D6765"/>
    <w:rsid w:val="353360CA"/>
    <w:rsid w:val="357F61BB"/>
    <w:rsid w:val="359A3628"/>
    <w:rsid w:val="35BC359E"/>
    <w:rsid w:val="35C423A1"/>
    <w:rsid w:val="35FC1049"/>
    <w:rsid w:val="36055F17"/>
    <w:rsid w:val="36130651"/>
    <w:rsid w:val="36256A03"/>
    <w:rsid w:val="36384582"/>
    <w:rsid w:val="366D5ED8"/>
    <w:rsid w:val="37463827"/>
    <w:rsid w:val="37624231"/>
    <w:rsid w:val="37B3535F"/>
    <w:rsid w:val="37C93D50"/>
    <w:rsid w:val="37DD7F65"/>
    <w:rsid w:val="37E345F1"/>
    <w:rsid w:val="37E52450"/>
    <w:rsid w:val="3810606A"/>
    <w:rsid w:val="385B7F48"/>
    <w:rsid w:val="38606463"/>
    <w:rsid w:val="394360F5"/>
    <w:rsid w:val="399668BD"/>
    <w:rsid w:val="39D36D72"/>
    <w:rsid w:val="39F23E7D"/>
    <w:rsid w:val="39F27F2D"/>
    <w:rsid w:val="3A296DB0"/>
    <w:rsid w:val="3A8C3EE7"/>
    <w:rsid w:val="3B230497"/>
    <w:rsid w:val="3B378008"/>
    <w:rsid w:val="3B3B1B9E"/>
    <w:rsid w:val="3B3B3FFE"/>
    <w:rsid w:val="3B9308FD"/>
    <w:rsid w:val="3BAB75F8"/>
    <w:rsid w:val="3C4D288E"/>
    <w:rsid w:val="3C9F3019"/>
    <w:rsid w:val="3CCF4230"/>
    <w:rsid w:val="3CD8486C"/>
    <w:rsid w:val="3D5247A3"/>
    <w:rsid w:val="3DC7716C"/>
    <w:rsid w:val="3E2D6F7B"/>
    <w:rsid w:val="3E646581"/>
    <w:rsid w:val="3E8C59E9"/>
    <w:rsid w:val="3EA143D4"/>
    <w:rsid w:val="3EA47316"/>
    <w:rsid w:val="3EA97755"/>
    <w:rsid w:val="3F093323"/>
    <w:rsid w:val="3FAF3CF4"/>
    <w:rsid w:val="40302CD6"/>
    <w:rsid w:val="40453022"/>
    <w:rsid w:val="406D7247"/>
    <w:rsid w:val="40D03BC6"/>
    <w:rsid w:val="415C72B5"/>
    <w:rsid w:val="41772DBC"/>
    <w:rsid w:val="41781ACF"/>
    <w:rsid w:val="418C0576"/>
    <w:rsid w:val="41955EFB"/>
    <w:rsid w:val="419817D0"/>
    <w:rsid w:val="41A526D8"/>
    <w:rsid w:val="41E9687E"/>
    <w:rsid w:val="41EB27B6"/>
    <w:rsid w:val="42246753"/>
    <w:rsid w:val="42470693"/>
    <w:rsid w:val="424E670D"/>
    <w:rsid w:val="42BD2DEB"/>
    <w:rsid w:val="431C5459"/>
    <w:rsid w:val="43FE04A3"/>
    <w:rsid w:val="44541F37"/>
    <w:rsid w:val="44937BC0"/>
    <w:rsid w:val="44FC03BC"/>
    <w:rsid w:val="45036889"/>
    <w:rsid w:val="451C5E07"/>
    <w:rsid w:val="45251B69"/>
    <w:rsid w:val="45332FC5"/>
    <w:rsid w:val="456152FB"/>
    <w:rsid w:val="459B6D2C"/>
    <w:rsid w:val="464C4E80"/>
    <w:rsid w:val="466C4C60"/>
    <w:rsid w:val="467E4E58"/>
    <w:rsid w:val="46EF2A42"/>
    <w:rsid w:val="477A0D44"/>
    <w:rsid w:val="47972D9C"/>
    <w:rsid w:val="482439FF"/>
    <w:rsid w:val="484E10F7"/>
    <w:rsid w:val="485A4E13"/>
    <w:rsid w:val="48915554"/>
    <w:rsid w:val="48AA54D8"/>
    <w:rsid w:val="490F3BE0"/>
    <w:rsid w:val="4928263A"/>
    <w:rsid w:val="49346E1F"/>
    <w:rsid w:val="494C5C3E"/>
    <w:rsid w:val="497F0713"/>
    <w:rsid w:val="498507CF"/>
    <w:rsid w:val="49C71BF8"/>
    <w:rsid w:val="49DB1DA7"/>
    <w:rsid w:val="49E03D0B"/>
    <w:rsid w:val="49EA7890"/>
    <w:rsid w:val="4A2E50B4"/>
    <w:rsid w:val="4A737AF5"/>
    <w:rsid w:val="4AFE0340"/>
    <w:rsid w:val="4B3F51E4"/>
    <w:rsid w:val="4B657062"/>
    <w:rsid w:val="4B850273"/>
    <w:rsid w:val="4C026A6E"/>
    <w:rsid w:val="4C283ECA"/>
    <w:rsid w:val="4C6858B3"/>
    <w:rsid w:val="4CA115D6"/>
    <w:rsid w:val="4D2B0CA3"/>
    <w:rsid w:val="4D6B28A0"/>
    <w:rsid w:val="4D6B70AE"/>
    <w:rsid w:val="4D9A1F51"/>
    <w:rsid w:val="4DD1134A"/>
    <w:rsid w:val="4DE84C9C"/>
    <w:rsid w:val="4DF7B114"/>
    <w:rsid w:val="4DFE1F86"/>
    <w:rsid w:val="4E2504EC"/>
    <w:rsid w:val="4E840476"/>
    <w:rsid w:val="4F310148"/>
    <w:rsid w:val="4F3E246B"/>
    <w:rsid w:val="4F717496"/>
    <w:rsid w:val="4FC65972"/>
    <w:rsid w:val="502C52CD"/>
    <w:rsid w:val="50946C81"/>
    <w:rsid w:val="512131A2"/>
    <w:rsid w:val="51426416"/>
    <w:rsid w:val="51470A03"/>
    <w:rsid w:val="516A4FB3"/>
    <w:rsid w:val="51F65B1F"/>
    <w:rsid w:val="521A4417"/>
    <w:rsid w:val="52CC56D8"/>
    <w:rsid w:val="52EA27FA"/>
    <w:rsid w:val="5311421D"/>
    <w:rsid w:val="53277E51"/>
    <w:rsid w:val="532E19FB"/>
    <w:rsid w:val="533327CB"/>
    <w:rsid w:val="534D15B8"/>
    <w:rsid w:val="537B4E7C"/>
    <w:rsid w:val="53894668"/>
    <w:rsid w:val="53952C3A"/>
    <w:rsid w:val="53BC61C6"/>
    <w:rsid w:val="53DD1C7A"/>
    <w:rsid w:val="54EB503E"/>
    <w:rsid w:val="553A06B6"/>
    <w:rsid w:val="55552624"/>
    <w:rsid w:val="556671D1"/>
    <w:rsid w:val="556F3516"/>
    <w:rsid w:val="55842728"/>
    <w:rsid w:val="55AE7511"/>
    <w:rsid w:val="55C92133"/>
    <w:rsid w:val="55EE6CB4"/>
    <w:rsid w:val="55F14746"/>
    <w:rsid w:val="562851DF"/>
    <w:rsid w:val="562E6199"/>
    <w:rsid w:val="56623216"/>
    <w:rsid w:val="57221542"/>
    <w:rsid w:val="57654D9E"/>
    <w:rsid w:val="579A73D0"/>
    <w:rsid w:val="57DE5F38"/>
    <w:rsid w:val="582A051D"/>
    <w:rsid w:val="58365A33"/>
    <w:rsid w:val="58474568"/>
    <w:rsid w:val="58782A3A"/>
    <w:rsid w:val="58D041BE"/>
    <w:rsid w:val="58D7523F"/>
    <w:rsid w:val="59403102"/>
    <w:rsid w:val="5A2E77B0"/>
    <w:rsid w:val="5A680DB8"/>
    <w:rsid w:val="5A8F6603"/>
    <w:rsid w:val="5AFE3B8D"/>
    <w:rsid w:val="5BA5743E"/>
    <w:rsid w:val="5C144EDC"/>
    <w:rsid w:val="5C41710B"/>
    <w:rsid w:val="5CAB322B"/>
    <w:rsid w:val="5CBB387E"/>
    <w:rsid w:val="5D3A3A85"/>
    <w:rsid w:val="5DFF123C"/>
    <w:rsid w:val="5EC657DB"/>
    <w:rsid w:val="5EC76337"/>
    <w:rsid w:val="5F2F011A"/>
    <w:rsid w:val="5F6647E2"/>
    <w:rsid w:val="5FA95A4A"/>
    <w:rsid w:val="60406BEA"/>
    <w:rsid w:val="60820DBC"/>
    <w:rsid w:val="60CA4AE0"/>
    <w:rsid w:val="61156B4C"/>
    <w:rsid w:val="612754C0"/>
    <w:rsid w:val="61B34AA8"/>
    <w:rsid w:val="61F27AFC"/>
    <w:rsid w:val="62086EF2"/>
    <w:rsid w:val="62115B05"/>
    <w:rsid w:val="6264243B"/>
    <w:rsid w:val="6290516E"/>
    <w:rsid w:val="62B820F9"/>
    <w:rsid w:val="631B3431"/>
    <w:rsid w:val="632E70DC"/>
    <w:rsid w:val="63882FA6"/>
    <w:rsid w:val="63BE25E3"/>
    <w:rsid w:val="640B356D"/>
    <w:rsid w:val="646F76DC"/>
    <w:rsid w:val="6471725A"/>
    <w:rsid w:val="64A357A5"/>
    <w:rsid w:val="64E14BAA"/>
    <w:rsid w:val="655B2797"/>
    <w:rsid w:val="65715A32"/>
    <w:rsid w:val="65965E56"/>
    <w:rsid w:val="659F6980"/>
    <w:rsid w:val="663C37BC"/>
    <w:rsid w:val="663F4DEA"/>
    <w:rsid w:val="66430FEE"/>
    <w:rsid w:val="669C57AF"/>
    <w:rsid w:val="669D4B7B"/>
    <w:rsid w:val="66C72DC6"/>
    <w:rsid w:val="66C95950"/>
    <w:rsid w:val="66DE0E97"/>
    <w:rsid w:val="674212D6"/>
    <w:rsid w:val="67456CD8"/>
    <w:rsid w:val="676D34EB"/>
    <w:rsid w:val="678B29FA"/>
    <w:rsid w:val="678D6A6D"/>
    <w:rsid w:val="67F475F0"/>
    <w:rsid w:val="682C696E"/>
    <w:rsid w:val="683C4300"/>
    <w:rsid w:val="685E2B9F"/>
    <w:rsid w:val="69381D28"/>
    <w:rsid w:val="69404562"/>
    <w:rsid w:val="69434E61"/>
    <w:rsid w:val="694A7017"/>
    <w:rsid w:val="6959071D"/>
    <w:rsid w:val="699B7E66"/>
    <w:rsid w:val="69A41DA4"/>
    <w:rsid w:val="69E353EA"/>
    <w:rsid w:val="6A280AEF"/>
    <w:rsid w:val="6A5228EE"/>
    <w:rsid w:val="6A5D4D68"/>
    <w:rsid w:val="6A925FC0"/>
    <w:rsid w:val="6B0E0D59"/>
    <w:rsid w:val="6B5C3B33"/>
    <w:rsid w:val="6BAF31A9"/>
    <w:rsid w:val="6BE5385D"/>
    <w:rsid w:val="6BF71691"/>
    <w:rsid w:val="6C0C625C"/>
    <w:rsid w:val="6C1D5E3D"/>
    <w:rsid w:val="6C390393"/>
    <w:rsid w:val="6C6B29CE"/>
    <w:rsid w:val="6C944F20"/>
    <w:rsid w:val="6CC658B0"/>
    <w:rsid w:val="6CCF5389"/>
    <w:rsid w:val="6D273C74"/>
    <w:rsid w:val="6D9C4121"/>
    <w:rsid w:val="6DCA4784"/>
    <w:rsid w:val="6DCB1BF8"/>
    <w:rsid w:val="6DD71A20"/>
    <w:rsid w:val="6DFF6B64"/>
    <w:rsid w:val="6E536520"/>
    <w:rsid w:val="6E770F59"/>
    <w:rsid w:val="6F137CCD"/>
    <w:rsid w:val="6F2067D0"/>
    <w:rsid w:val="6F333079"/>
    <w:rsid w:val="6F5813C5"/>
    <w:rsid w:val="6F5D54F1"/>
    <w:rsid w:val="6F883E6F"/>
    <w:rsid w:val="6FBF1A0F"/>
    <w:rsid w:val="6FDE0859"/>
    <w:rsid w:val="70717DA5"/>
    <w:rsid w:val="70E6284C"/>
    <w:rsid w:val="71381C3F"/>
    <w:rsid w:val="71501558"/>
    <w:rsid w:val="71A75E98"/>
    <w:rsid w:val="71B132B0"/>
    <w:rsid w:val="72043BFE"/>
    <w:rsid w:val="721826BF"/>
    <w:rsid w:val="729B1B20"/>
    <w:rsid w:val="72C76B03"/>
    <w:rsid w:val="72CF38C3"/>
    <w:rsid w:val="73A500E4"/>
    <w:rsid w:val="73E41056"/>
    <w:rsid w:val="742F7DF6"/>
    <w:rsid w:val="74512ED0"/>
    <w:rsid w:val="74A27CCB"/>
    <w:rsid w:val="74F00DA8"/>
    <w:rsid w:val="7511010D"/>
    <w:rsid w:val="7544443B"/>
    <w:rsid w:val="754E52B9"/>
    <w:rsid w:val="754F73CA"/>
    <w:rsid w:val="7569055C"/>
    <w:rsid w:val="75AB0E66"/>
    <w:rsid w:val="76423651"/>
    <w:rsid w:val="765319EE"/>
    <w:rsid w:val="767D6E87"/>
    <w:rsid w:val="76CB2469"/>
    <w:rsid w:val="76CF5F86"/>
    <w:rsid w:val="76D8308D"/>
    <w:rsid w:val="76E2611D"/>
    <w:rsid w:val="76EC4D8A"/>
    <w:rsid w:val="772B2E52"/>
    <w:rsid w:val="77D14F5D"/>
    <w:rsid w:val="77DB6EAD"/>
    <w:rsid w:val="781311E0"/>
    <w:rsid w:val="7823277B"/>
    <w:rsid w:val="786A2290"/>
    <w:rsid w:val="789720A1"/>
    <w:rsid w:val="78DF4171"/>
    <w:rsid w:val="793F1A7F"/>
    <w:rsid w:val="794D7FE3"/>
    <w:rsid w:val="79517126"/>
    <w:rsid w:val="7A263AD8"/>
    <w:rsid w:val="7A3E4BD3"/>
    <w:rsid w:val="7A9B5F68"/>
    <w:rsid w:val="7AB03E6E"/>
    <w:rsid w:val="7B7E7CCE"/>
    <w:rsid w:val="7BA251B9"/>
    <w:rsid w:val="7BAC2077"/>
    <w:rsid w:val="7BC05A6B"/>
    <w:rsid w:val="7BF212CD"/>
    <w:rsid w:val="7BFE17E7"/>
    <w:rsid w:val="7C09730A"/>
    <w:rsid w:val="7C140099"/>
    <w:rsid w:val="7C280D5C"/>
    <w:rsid w:val="7C2A2184"/>
    <w:rsid w:val="7C2D72B1"/>
    <w:rsid w:val="7C3677E7"/>
    <w:rsid w:val="7C4B10B5"/>
    <w:rsid w:val="7CD37616"/>
    <w:rsid w:val="7CDD0CEE"/>
    <w:rsid w:val="7D0D23CC"/>
    <w:rsid w:val="7D460C63"/>
    <w:rsid w:val="7D6804B0"/>
    <w:rsid w:val="7DB912A3"/>
    <w:rsid w:val="7E3967A0"/>
    <w:rsid w:val="7E3D6351"/>
    <w:rsid w:val="7EAD188A"/>
    <w:rsid w:val="7F074E4B"/>
    <w:rsid w:val="7F1B6628"/>
    <w:rsid w:val="7F4F7C8B"/>
    <w:rsid w:val="7F6A4704"/>
    <w:rsid w:val="7F7818E5"/>
    <w:rsid w:val="7F953772"/>
    <w:rsid w:val="7FAE5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6" w:lineRule="exact"/>
      <w:ind w:firstLine="200" w:firstLineChars="200"/>
      <w:jc w:val="both"/>
    </w:pPr>
    <w:rPr>
      <w:rFonts w:ascii="Times New Roman" w:hAnsi="Times New Roman" w:eastAsia="宋体" w:cs="Times New Roman"/>
      <w:kern w:val="2"/>
      <w:sz w:val="24"/>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1"/>
    <w:pPr>
      <w:widowControl w:val="0"/>
      <w:adjustRightInd/>
      <w:snapToGrid/>
      <w:spacing w:after="0"/>
      <w:jc w:val="both"/>
    </w:pPr>
    <w:rPr>
      <w:rFonts w:hint="eastAsia" w:ascii="Calibri" w:hAnsi="Calibri" w:eastAsia="宋体" w:cs="Times New Roman"/>
      <w:kern w:val="2"/>
      <w:sz w:val="32"/>
      <w:szCs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3548</Words>
  <Characters>3680</Characters>
  <Lines>0</Lines>
  <Paragraphs>0</Paragraphs>
  <TotalTime>11</TotalTime>
  <ScaleCrop>false</ScaleCrop>
  <LinksUpToDate>false</LinksUpToDate>
  <CharactersWithSpaces>3720</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2019-11-30T00:56:00Z</dcterms:created>
  <dc:creator>郭超(拟稿)</dc:creator>
  <cp:lastModifiedBy>张荣</cp:lastModifiedBy>
  <dcterms:modified xsi:type="dcterms:W3CDTF">2025-02-10T10:02:50Z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27C657D3142146468B7417179B3E63E2_13</vt:lpwstr>
  </property>
  <property fmtid="{D5CDD505-2E9C-101B-9397-08002B2CF9AE}" pid="4" name="KSOTemplateDocerSaveRecord">
    <vt:lpwstr>eyJoZGlkIjoiZTY1ZWI1ZjcwOTA1Y2QxOTNjZWY5NmFlYTQyYmRjYzkiLCJ1c2VySWQiOiIyNzczNDk4MDYifQ==</vt:lpwstr>
  </property>
</Properties>
</file>