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B20" w:rsidRDefault="00CF2B20">
      <w:pPr>
        <w:spacing w:line="360" w:lineRule="auto"/>
        <w:jc w:val="center"/>
        <w:rPr>
          <w:rFonts w:ascii="宋体" w:hAnsi="宋体"/>
          <w:sz w:val="24"/>
        </w:rPr>
      </w:pPr>
    </w:p>
    <w:p w:rsidR="00CF2B20" w:rsidRDefault="00CF2B20">
      <w:pPr>
        <w:pStyle w:val="a0"/>
        <w:rPr>
          <w:rFonts w:ascii="宋体"/>
        </w:rPr>
      </w:pPr>
    </w:p>
    <w:p w:rsidR="00CF2B20" w:rsidRDefault="00CF2B20">
      <w:pPr>
        <w:pStyle w:val="a0"/>
        <w:rPr>
          <w:rFonts w:ascii="宋体"/>
        </w:rPr>
      </w:pPr>
    </w:p>
    <w:p w:rsidR="00CF2B20" w:rsidRDefault="00CF2B20">
      <w:pPr>
        <w:spacing w:line="360" w:lineRule="auto"/>
        <w:jc w:val="center"/>
        <w:rPr>
          <w:rFonts w:ascii="宋体" w:hAnsi="宋体"/>
          <w:sz w:val="24"/>
        </w:rPr>
      </w:pPr>
    </w:p>
    <w:p w:rsidR="00CF2B20" w:rsidRDefault="00CF2B20">
      <w:pPr>
        <w:spacing w:line="360" w:lineRule="auto"/>
        <w:jc w:val="center"/>
        <w:rPr>
          <w:rFonts w:ascii="宋体" w:hAnsi="宋体"/>
          <w:sz w:val="24"/>
        </w:rPr>
      </w:pPr>
    </w:p>
    <w:p w:rsidR="00CF2B20" w:rsidRDefault="00CF2B20">
      <w:pPr>
        <w:spacing w:line="360" w:lineRule="auto"/>
        <w:jc w:val="center"/>
        <w:rPr>
          <w:rFonts w:ascii="宋体" w:hAnsi="宋体"/>
          <w:sz w:val="24"/>
        </w:rPr>
      </w:pPr>
    </w:p>
    <w:p w:rsidR="00CF2B20" w:rsidRDefault="00B24772">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年度内蒙古自治区工业和信息化厅驻锡林郭勒盟无线电管理处</w:t>
      </w:r>
    </w:p>
    <w:p w:rsidR="00CF2B20" w:rsidRDefault="00B24772">
      <w:pPr>
        <w:spacing w:line="360" w:lineRule="auto"/>
        <w:jc w:val="center"/>
        <w:rPr>
          <w:rFonts w:ascii="宋体" w:hAnsi="宋体"/>
          <w:b/>
          <w:bCs/>
          <w:sz w:val="52"/>
          <w:szCs w:val="52"/>
        </w:rPr>
      </w:pPr>
      <w:r>
        <w:rPr>
          <w:rFonts w:ascii="宋体" w:hAnsi="宋体" w:hint="eastAsia"/>
          <w:b/>
          <w:bCs/>
          <w:sz w:val="52"/>
          <w:szCs w:val="52"/>
        </w:rPr>
        <w:t>公开报告</w:t>
      </w:r>
    </w:p>
    <w:p w:rsidR="00CF2B20" w:rsidRDefault="00CF2B20">
      <w:pPr>
        <w:pStyle w:val="a0"/>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adjustRightInd w:val="0"/>
        <w:snapToGrid w:val="0"/>
        <w:spacing w:line="600" w:lineRule="exact"/>
        <w:ind w:firstLine="640"/>
        <w:rPr>
          <w:rFonts w:eastAsia="仿宋_GB2312"/>
          <w:sz w:val="32"/>
          <w:szCs w:val="32"/>
        </w:rPr>
      </w:pPr>
    </w:p>
    <w:p w:rsidR="00CF2B20" w:rsidRDefault="00CF2B20">
      <w:pPr>
        <w:widowControl/>
        <w:spacing w:after="240"/>
        <w:jc w:val="center"/>
        <w:rPr>
          <w:rFonts w:ascii="fang_song_gb2312" w:eastAsia="fang_song_gb2312" w:hAnsi="fang_song_gb2312" w:cs="fang_song_gb2312"/>
          <w:b/>
          <w:bCs/>
          <w:kern w:val="0"/>
          <w:sz w:val="54"/>
          <w:szCs w:val="54"/>
        </w:rPr>
      </w:pPr>
      <w:bookmarkStart w:id="0" w:name="a000"/>
    </w:p>
    <w:p w:rsidR="00CF2B20" w:rsidRDefault="00CF2B20">
      <w:pPr>
        <w:widowControl/>
        <w:spacing w:after="240"/>
        <w:rPr>
          <w:rFonts w:ascii="fang_song_gb2312" w:eastAsia="fang_song_gb2312" w:hAnsi="fang_song_gb2312" w:cs="fang_song_gb2312"/>
          <w:b/>
          <w:bCs/>
          <w:kern w:val="0"/>
          <w:sz w:val="54"/>
          <w:szCs w:val="54"/>
        </w:rPr>
      </w:pPr>
    </w:p>
    <w:p w:rsidR="00CF2B20" w:rsidRDefault="00B24772">
      <w:pPr>
        <w:widowControl/>
        <w:spacing w:after="240"/>
        <w:jc w:val="center"/>
        <w:rPr>
          <w:rFonts w:eastAsia="Times New Roman"/>
          <w:kern w:val="0"/>
          <w:sz w:val="24"/>
        </w:rPr>
      </w:pPr>
      <w:r>
        <w:rPr>
          <w:rFonts w:ascii="fang_song_gb2312" w:eastAsia="fang_song_gb2312" w:hAnsi="fang_song_gb2312" w:cs="fang_song_gb2312"/>
          <w:b/>
          <w:bCs/>
          <w:kern w:val="0"/>
          <w:sz w:val="54"/>
          <w:szCs w:val="54"/>
        </w:rPr>
        <w:lastRenderedPageBreak/>
        <w:t>目 录</w:t>
      </w:r>
    </w:p>
    <w:p w:rsidR="00CF2B20" w:rsidRDefault="00B24772">
      <w:pPr>
        <w:widowControl/>
        <w:spacing w:before="240" w:after="240"/>
        <w:jc w:val="left"/>
        <w:rPr>
          <w:rFonts w:eastAsia="Times New Roman"/>
          <w:kern w:val="0"/>
          <w:sz w:val="24"/>
        </w:rPr>
      </w:pPr>
      <w:r>
        <w:rPr>
          <w:rFonts w:eastAsia="Times New Roman"/>
          <w:b/>
          <w:bCs/>
          <w:kern w:val="0"/>
          <w:sz w:val="24"/>
        </w:rPr>
        <w:t> </w:t>
      </w:r>
    </w:p>
    <w:p w:rsidR="00CF2B20" w:rsidRDefault="00B24772">
      <w:pPr>
        <w:widowControl/>
        <w:spacing w:before="240" w:after="240"/>
        <w:jc w:val="left"/>
        <w:rPr>
          <w:rFonts w:ascii="黑体" w:eastAsia="黑体" w:hAnsi="黑体" w:cs="黑体"/>
          <w:kern w:val="0"/>
          <w:sz w:val="32"/>
          <w:szCs w:val="32"/>
        </w:rPr>
      </w:pPr>
      <w:r>
        <w:rPr>
          <w:rFonts w:ascii="黑体" w:eastAsia="黑体" w:hAnsi="黑体" w:cs="黑体" w:hint="eastAsia"/>
          <w:kern w:val="0"/>
          <w:sz w:val="32"/>
          <w:szCs w:val="32"/>
        </w:rPr>
        <w:t>第一部分 单位概况</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一、主要职能、职责</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二、单位机构设置及决算单位构成情况</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三、2024年度单位主要工作完成情况</w:t>
      </w:r>
    </w:p>
    <w:p w:rsidR="00CF2B20" w:rsidRDefault="00B24772">
      <w:pPr>
        <w:widowControl/>
        <w:spacing w:before="240" w:after="240"/>
        <w:jc w:val="left"/>
        <w:rPr>
          <w:rFonts w:ascii="黑体" w:eastAsia="黑体" w:hAnsi="黑体" w:cs="黑体"/>
          <w:kern w:val="0"/>
          <w:sz w:val="32"/>
          <w:szCs w:val="32"/>
        </w:rPr>
      </w:pPr>
      <w:r>
        <w:rPr>
          <w:rFonts w:ascii="黑体" w:eastAsia="黑体" w:hAnsi="黑体" w:cs="黑体" w:hint="eastAsia"/>
          <w:kern w:val="0"/>
          <w:sz w:val="32"/>
          <w:szCs w:val="32"/>
        </w:rPr>
        <w:t>第二部分 单位决算情况说明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一、收入支出决算总体情况说明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二、收入决算情况说明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三、支出决算情况说明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四、财政拨款收入支出决算总体情况说明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五、一般公共预算财政拨款支出决算情况说明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六、一般公共预算财政拨款基本支出决算情况说明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七、一般公共预算财政拨款项目支出决算情况说明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八、财政拨款“三公”经费支出决算情况说明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九、政府性基金预算财政拨款支出决算情况说明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lastRenderedPageBreak/>
        <w:t>十、国有资本经营预算财政拨款支出决算情况说明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十一、机关运行经费（公用经费）支出决算情况说明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十二、政府采购支出决算情况说明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十三、国有资产占用情况说明</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十四、预算绩效情况说明</w:t>
      </w:r>
    </w:p>
    <w:p w:rsidR="00CF2B20" w:rsidRDefault="00B24772">
      <w:pPr>
        <w:widowControl/>
        <w:spacing w:before="240" w:after="240"/>
        <w:jc w:val="left"/>
        <w:rPr>
          <w:rFonts w:ascii="黑体" w:eastAsia="黑体" w:hAnsi="黑体" w:cs="黑体"/>
          <w:kern w:val="0"/>
          <w:sz w:val="32"/>
          <w:szCs w:val="32"/>
        </w:rPr>
      </w:pPr>
      <w:r>
        <w:rPr>
          <w:rFonts w:ascii="黑体" w:eastAsia="黑体" w:hAnsi="黑体" w:cs="黑体" w:hint="eastAsia"/>
          <w:kern w:val="0"/>
          <w:sz w:val="32"/>
          <w:szCs w:val="32"/>
        </w:rPr>
        <w:t>第三部分 名词解释</w:t>
      </w:r>
    </w:p>
    <w:p w:rsidR="00CF2B20" w:rsidRDefault="00B24772">
      <w:pPr>
        <w:widowControl/>
        <w:spacing w:before="240" w:after="240"/>
        <w:jc w:val="left"/>
        <w:rPr>
          <w:rFonts w:ascii="黑体" w:eastAsia="黑体" w:hAnsi="黑体" w:cs="黑体"/>
          <w:kern w:val="0"/>
          <w:sz w:val="32"/>
          <w:szCs w:val="32"/>
        </w:rPr>
      </w:pPr>
      <w:r>
        <w:rPr>
          <w:rFonts w:ascii="黑体" w:eastAsia="黑体" w:hAnsi="黑体" w:cs="黑体" w:hint="eastAsia"/>
          <w:kern w:val="0"/>
          <w:sz w:val="32"/>
          <w:szCs w:val="32"/>
        </w:rPr>
        <w:t>第四部分 决算公开联系方式及信息反馈渠道</w:t>
      </w:r>
    </w:p>
    <w:p w:rsidR="00CF2B20" w:rsidRDefault="00B24772">
      <w:pPr>
        <w:widowControl/>
        <w:spacing w:before="240" w:after="240"/>
        <w:jc w:val="left"/>
        <w:rPr>
          <w:rFonts w:ascii="黑体" w:eastAsia="黑体" w:hAnsi="黑体" w:cs="黑体"/>
          <w:kern w:val="0"/>
          <w:sz w:val="32"/>
          <w:szCs w:val="32"/>
        </w:rPr>
      </w:pPr>
      <w:r>
        <w:rPr>
          <w:rFonts w:ascii="黑体" w:eastAsia="黑体" w:hAnsi="黑体" w:cs="黑体" w:hint="eastAsia"/>
          <w:kern w:val="0"/>
          <w:sz w:val="32"/>
          <w:szCs w:val="32"/>
        </w:rPr>
        <w:t>第五部分 单位决算表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一、收入支出决算总表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二、收入决算表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三、支出决算表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四、财政拨款收入支出决算总表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五、一般公共预算财政拨款支出决算表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六、一般公共预算财政拨款基本支出决算明细表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七、一般公共预算财政拨款项目支出决算明细表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八、政府性基金预算财政拨款收入支出决算表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lastRenderedPageBreak/>
        <w:t>九、国有资本经营预算财政拨款收入支出决算表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十、财政拨款“三公”经费支出决算表</w:t>
      </w:r>
    </w:p>
    <w:p w:rsidR="00CF2B20" w:rsidRDefault="00B24772">
      <w:pPr>
        <w:widowControl/>
        <w:spacing w:before="240" w:after="240"/>
        <w:jc w:val="left"/>
        <w:rPr>
          <w:rFonts w:ascii="宋体" w:hAnsi="宋体" w:cs="宋体"/>
          <w:kern w:val="0"/>
          <w:sz w:val="32"/>
          <w:szCs w:val="32"/>
        </w:rPr>
      </w:pPr>
      <w:r>
        <w:rPr>
          <w:rFonts w:ascii="宋体" w:hAnsi="宋体" w:cs="宋体" w:hint="eastAsia"/>
          <w:kern w:val="0"/>
          <w:sz w:val="32"/>
          <w:szCs w:val="32"/>
        </w:rPr>
        <w:t>十一、机关运行经费支出、国有资产占用情况及政府采购支出信息表</w:t>
      </w:r>
    </w:p>
    <w:p w:rsidR="00CF2B20" w:rsidRDefault="00CF2B20">
      <w:pPr>
        <w:widowControl/>
        <w:snapToGrid w:val="0"/>
        <w:spacing w:beforeAutospacing="1" w:afterAutospacing="1" w:line="360" w:lineRule="auto"/>
        <w:rPr>
          <w:rFonts w:ascii="宋体" w:hAnsi="宋体" w:cs="宋体"/>
          <w:kern w:val="0"/>
          <w:sz w:val="24"/>
        </w:rPr>
      </w:pPr>
    </w:p>
    <w:p w:rsidR="00CF2B20" w:rsidRDefault="00CF2B20">
      <w:pPr>
        <w:widowControl/>
        <w:spacing w:before="240" w:after="240"/>
        <w:rPr>
          <w:rFonts w:eastAsia="Times New Roman"/>
          <w:kern w:val="0"/>
          <w:sz w:val="24"/>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widowControl/>
        <w:spacing w:before="240" w:after="240"/>
        <w:jc w:val="center"/>
        <w:rPr>
          <w:rFonts w:ascii="黑体" w:eastAsia="黑体" w:hAnsi="黑体" w:cs="黑体"/>
          <w:b/>
          <w:bCs/>
          <w:color w:val="000000"/>
          <w:kern w:val="0"/>
          <w:sz w:val="36"/>
          <w:szCs w:val="36"/>
        </w:rPr>
      </w:pPr>
    </w:p>
    <w:p w:rsidR="00CF2B20" w:rsidRDefault="00CF2B20">
      <w:pPr>
        <w:pStyle w:val="21"/>
        <w:rPr>
          <w:rFonts w:ascii="黑体" w:eastAsia="黑体" w:hAnsi="黑体" w:cs="黑体" w:hint="default"/>
          <w:b/>
          <w:bCs/>
          <w:color w:val="000000"/>
          <w:sz w:val="36"/>
          <w:szCs w:val="36"/>
        </w:rPr>
      </w:pPr>
    </w:p>
    <w:p w:rsidR="00CF2B20" w:rsidRDefault="00CF2B20">
      <w:pPr>
        <w:pStyle w:val="21"/>
        <w:rPr>
          <w:rFonts w:ascii="黑体" w:eastAsia="黑体" w:hAnsi="黑体" w:cs="黑体" w:hint="default"/>
          <w:b/>
          <w:bCs/>
          <w:color w:val="000000"/>
          <w:sz w:val="36"/>
          <w:szCs w:val="36"/>
        </w:rPr>
      </w:pPr>
    </w:p>
    <w:p w:rsidR="00CF2B20" w:rsidRDefault="00B24772">
      <w:pPr>
        <w:widowControl/>
        <w:spacing w:before="240" w:after="240"/>
        <w:jc w:val="center"/>
        <w:rPr>
          <w:rFonts w:ascii="黑体" w:eastAsia="黑体" w:hAnsi="黑体" w:cs="黑体"/>
          <w:kern w:val="0"/>
          <w:sz w:val="36"/>
          <w:szCs w:val="36"/>
        </w:rPr>
      </w:pPr>
      <w:r>
        <w:rPr>
          <w:rFonts w:ascii="黑体" w:eastAsia="黑体" w:hAnsi="黑体" w:cs="黑体" w:hint="eastAsia"/>
          <w:b/>
          <w:bCs/>
          <w:color w:val="000000"/>
          <w:kern w:val="0"/>
          <w:sz w:val="36"/>
          <w:szCs w:val="36"/>
        </w:rPr>
        <w:lastRenderedPageBreak/>
        <w:t>第一部分 单位概况</w:t>
      </w: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一、主要职能、职责</w:t>
      </w:r>
    </w:p>
    <w:p w:rsidR="00CF2B20" w:rsidRDefault="00B24772">
      <w:pPr>
        <w:pStyle w:val="MsoNormal0"/>
        <w:widowControl/>
        <w:spacing w:before="240" w:after="240"/>
        <w:ind w:firstLine="640"/>
        <w:jc w:val="left"/>
        <w:rPr>
          <w:rFonts w:eastAsia="Times New Roman"/>
          <w:kern w:val="0"/>
          <w:sz w:val="24"/>
        </w:rPr>
      </w:pPr>
      <w:r>
        <w:rPr>
          <w:rFonts w:ascii="仿宋" w:eastAsia="仿宋" w:hAnsi="仿宋" w:cs="仿宋" w:hint="eastAsia"/>
          <w:color w:val="0E00FE"/>
          <w:kern w:val="0"/>
          <w:sz w:val="32"/>
          <w:szCs w:val="32"/>
        </w:rPr>
        <w:t> </w:t>
      </w:r>
      <w:r>
        <w:rPr>
          <w:rFonts w:ascii="仿宋" w:eastAsia="仿宋" w:hAnsi="仿宋" w:cs="仿宋" w:hint="eastAsia"/>
          <w:kern w:val="0"/>
          <w:sz w:val="32"/>
          <w:szCs w:val="32"/>
        </w:rPr>
        <w:t>内蒙古自治区工业和信息化厅驻锡林郭勒盟无线电管理处主要职责是贯彻执行国家、自治区无线电管理的方针、政策、法律、法规和规章，根据授权审批无线电台（站）的建设布局和台址，指配无线电频率和呼号，核发无线电台执照，收取频率占用费，负责辖区内的无线电监测、检测、查处无线电干扰。</w:t>
      </w: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二、单位机构设置及决算单位构成情况</w:t>
      </w:r>
    </w:p>
    <w:p w:rsidR="00CF2B20" w:rsidRDefault="00B24772">
      <w:pPr>
        <w:widowControl/>
        <w:spacing w:before="240" w:after="240"/>
        <w:ind w:firstLine="489"/>
        <w:rPr>
          <w:rFonts w:ascii="仿宋" w:eastAsia="仿宋" w:hAnsi="仿宋" w:cs="仿宋"/>
          <w:kern w:val="0"/>
          <w:sz w:val="32"/>
          <w:szCs w:val="32"/>
        </w:rPr>
      </w:pPr>
      <w:r>
        <w:rPr>
          <w:rFonts w:ascii="仿宋" w:eastAsia="仿宋" w:hAnsi="仿宋" w:cs="仿宋" w:hint="eastAsia"/>
          <w:kern w:val="0"/>
          <w:sz w:val="32"/>
          <w:szCs w:val="32"/>
        </w:rPr>
        <w:t>1.根据单位职责分工，本单位无内设机构。本单位无下属单位。</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2.从决算单位构成看，纳入本财政汇总决算编制范围的预算单位共计</w:t>
      </w:r>
      <w:r>
        <w:rPr>
          <w:rFonts w:ascii="仿宋" w:eastAsia="仿宋" w:hAnsi="仿宋" w:cs="仿宋" w:hint="eastAsia"/>
          <w:kern w:val="0"/>
          <w:sz w:val="32"/>
          <w:szCs w:val="32"/>
          <w:u w:val="single"/>
        </w:rPr>
        <w:t>1</w:t>
      </w:r>
      <w:r>
        <w:rPr>
          <w:rFonts w:ascii="仿宋" w:eastAsia="仿宋" w:hAnsi="仿宋" w:cs="仿宋" w:hint="eastAsia"/>
          <w:kern w:val="0"/>
          <w:sz w:val="32"/>
          <w:szCs w:val="32"/>
        </w:rPr>
        <w:t>家，具体包括：内蒙古自治区工业和信息化厅驻锡林郭勒盟无线电管理处。详细情况见表：</w:t>
      </w:r>
    </w:p>
    <w:tbl>
      <w:tblPr>
        <w:tblW w:w="3777" w:type="pct"/>
        <w:jc w:val="center"/>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853"/>
        <w:gridCol w:w="3397"/>
        <w:gridCol w:w="3141"/>
      </w:tblGrid>
      <w:tr w:rsidR="00CF2B20">
        <w:trPr>
          <w:trHeight w:val="460"/>
          <w:tblHeader/>
          <w:jc w:val="center"/>
        </w:trPr>
        <w:tc>
          <w:tcPr>
            <w:tcW w:w="577" w:type="pct"/>
            <w:tcBorders>
              <w:bottom w:val="inset" w:sz="6" w:space="0" w:color="808080"/>
              <w:right w:val="inset" w:sz="6" w:space="0" w:color="808080"/>
            </w:tcBorders>
            <w:tcMar>
              <w:top w:w="22" w:type="dxa"/>
              <w:left w:w="22" w:type="dxa"/>
              <w:bottom w:w="22" w:type="dxa"/>
              <w:right w:w="22" w:type="dxa"/>
            </w:tcMar>
            <w:vAlign w:val="center"/>
          </w:tcPr>
          <w:p w:rsidR="00CF2B20" w:rsidRDefault="00B24772">
            <w:pPr>
              <w:widowControl/>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序号</w:t>
            </w:r>
          </w:p>
        </w:tc>
        <w:tc>
          <w:tcPr>
            <w:tcW w:w="2297" w:type="pct"/>
            <w:tcBorders>
              <w:left w:val="inset" w:sz="6" w:space="0" w:color="808080"/>
              <w:bottom w:val="inset" w:sz="6" w:space="0" w:color="808080"/>
              <w:right w:val="inset" w:sz="6" w:space="0" w:color="808080"/>
            </w:tcBorders>
            <w:tcMar>
              <w:top w:w="22" w:type="dxa"/>
              <w:left w:w="22" w:type="dxa"/>
              <w:bottom w:w="22" w:type="dxa"/>
              <w:right w:w="22" w:type="dxa"/>
            </w:tcMar>
            <w:vAlign w:val="center"/>
          </w:tcPr>
          <w:p w:rsidR="00CF2B20" w:rsidRDefault="00B24772">
            <w:pPr>
              <w:widowControl/>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单位名称</w:t>
            </w:r>
          </w:p>
        </w:tc>
        <w:tc>
          <w:tcPr>
            <w:tcW w:w="2124" w:type="pct"/>
            <w:tcBorders>
              <w:left w:val="inset" w:sz="6" w:space="0" w:color="808080"/>
              <w:bottom w:val="inset" w:sz="6" w:space="0" w:color="808080"/>
            </w:tcBorders>
            <w:tcMar>
              <w:top w:w="22" w:type="dxa"/>
              <w:left w:w="22" w:type="dxa"/>
              <w:bottom w:w="22" w:type="dxa"/>
              <w:right w:w="22" w:type="dxa"/>
            </w:tcMar>
            <w:vAlign w:val="center"/>
          </w:tcPr>
          <w:p w:rsidR="00CF2B20" w:rsidRDefault="00B24772">
            <w:pPr>
              <w:widowControl/>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单位性质</w:t>
            </w:r>
          </w:p>
        </w:tc>
      </w:tr>
      <w:tr w:rsidR="00CF2B20">
        <w:trPr>
          <w:trHeight w:val="369"/>
          <w:jc w:val="center"/>
        </w:trPr>
        <w:tc>
          <w:tcPr>
            <w:tcW w:w="577"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CF2B20" w:rsidRDefault="00B24772">
            <w:pPr>
              <w:widowControl/>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1</w:t>
            </w:r>
          </w:p>
        </w:tc>
        <w:tc>
          <w:tcPr>
            <w:tcW w:w="2297"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2B20" w:rsidRDefault="00B24772">
            <w:pPr>
              <w:widowControl/>
              <w:jc w:val="left"/>
              <w:rPr>
                <w:rFonts w:ascii="仿宋" w:eastAsia="仿宋" w:hAnsi="仿宋" w:cs="仿宋"/>
                <w:color w:val="000000"/>
                <w:kern w:val="0"/>
                <w:sz w:val="32"/>
                <w:szCs w:val="32"/>
              </w:rPr>
            </w:pPr>
            <w:r>
              <w:rPr>
                <w:rFonts w:ascii="仿宋" w:eastAsia="仿宋" w:hAnsi="仿宋" w:cs="仿宋" w:hint="eastAsia"/>
                <w:color w:val="0E00FE"/>
                <w:kern w:val="0"/>
                <w:sz w:val="32"/>
                <w:szCs w:val="32"/>
              </w:rPr>
              <w:t> </w:t>
            </w:r>
            <w:r>
              <w:rPr>
                <w:rFonts w:ascii="仿宋" w:eastAsia="仿宋" w:hAnsi="仿宋" w:cs="仿宋" w:hint="eastAsia"/>
                <w:kern w:val="0"/>
                <w:sz w:val="32"/>
                <w:szCs w:val="32"/>
              </w:rPr>
              <w:t>内蒙古自治区工业和信息化厅驻锡林郭勒盟无线电管理处</w:t>
            </w:r>
          </w:p>
        </w:tc>
        <w:tc>
          <w:tcPr>
            <w:tcW w:w="2124"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CF2B20" w:rsidRDefault="00B24772">
            <w:pPr>
              <w:widowControl/>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财政拨款的行政单位</w:t>
            </w:r>
          </w:p>
        </w:tc>
      </w:tr>
      <w:tr w:rsidR="00CF2B20">
        <w:trPr>
          <w:trHeight w:val="369"/>
          <w:jc w:val="center"/>
        </w:trPr>
        <w:tc>
          <w:tcPr>
            <w:tcW w:w="577"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CF2B20" w:rsidRDefault="00B24772">
            <w:pPr>
              <w:widowControl/>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2</w:t>
            </w:r>
          </w:p>
        </w:tc>
        <w:tc>
          <w:tcPr>
            <w:tcW w:w="2297"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CF2B20" w:rsidRDefault="00CF2B20">
            <w:pPr>
              <w:widowControl/>
              <w:jc w:val="left"/>
              <w:rPr>
                <w:rFonts w:ascii="仿宋" w:eastAsia="仿宋" w:hAnsi="仿宋" w:cs="仿宋"/>
                <w:color w:val="000000"/>
                <w:kern w:val="0"/>
                <w:sz w:val="32"/>
                <w:szCs w:val="32"/>
              </w:rPr>
            </w:pPr>
          </w:p>
        </w:tc>
        <w:tc>
          <w:tcPr>
            <w:tcW w:w="2124"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CF2B20" w:rsidRDefault="00CF2B20">
            <w:pPr>
              <w:widowControl/>
              <w:jc w:val="left"/>
              <w:rPr>
                <w:rFonts w:ascii="仿宋" w:eastAsia="仿宋" w:hAnsi="仿宋" w:cs="仿宋"/>
                <w:color w:val="000000"/>
                <w:kern w:val="0"/>
                <w:sz w:val="32"/>
                <w:szCs w:val="32"/>
              </w:rPr>
            </w:pPr>
          </w:p>
        </w:tc>
      </w:tr>
    </w:tbl>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color w:val="0E00FE"/>
          <w:kern w:val="0"/>
          <w:sz w:val="27"/>
          <w:szCs w:val="27"/>
        </w:rPr>
        <w:t xml:space="preserve">   </w:t>
      </w:r>
      <w:r>
        <w:rPr>
          <w:rFonts w:ascii="黑体" w:eastAsia="黑体" w:hAnsi="黑体" w:cs="黑体"/>
          <w:b/>
          <w:bCs/>
          <w:kern w:val="0"/>
          <w:sz w:val="32"/>
          <w:szCs w:val="32"/>
        </w:rPr>
        <w:t>三、202</w:t>
      </w:r>
      <w:r>
        <w:rPr>
          <w:rFonts w:ascii="黑体" w:eastAsia="黑体" w:hAnsi="黑体" w:cs="黑体" w:hint="eastAsia"/>
          <w:b/>
          <w:bCs/>
          <w:kern w:val="0"/>
          <w:sz w:val="32"/>
          <w:szCs w:val="32"/>
        </w:rPr>
        <w:t>4</w:t>
      </w:r>
      <w:r>
        <w:rPr>
          <w:rFonts w:ascii="黑体" w:eastAsia="黑体" w:hAnsi="黑体" w:cs="黑体"/>
          <w:b/>
          <w:bCs/>
          <w:kern w:val="0"/>
          <w:sz w:val="32"/>
          <w:szCs w:val="32"/>
        </w:rPr>
        <w:t>年度单位主要工作完成情况</w:t>
      </w:r>
    </w:p>
    <w:p w:rsidR="00CF2B20" w:rsidRDefault="00B24772" w:rsidP="001C4C3B">
      <w:pPr>
        <w:spacing w:line="580" w:lineRule="exact"/>
        <w:ind w:firstLineChars="200" w:firstLine="618"/>
        <w:rPr>
          <w:rFonts w:ascii="仿宋" w:eastAsia="仿宋" w:hAnsi="仿宋" w:cs="仿宋"/>
          <w:b/>
          <w:sz w:val="32"/>
          <w:szCs w:val="32"/>
        </w:rPr>
      </w:pPr>
      <w:r>
        <w:rPr>
          <w:rFonts w:ascii="仿宋" w:eastAsia="仿宋" w:hAnsi="仿宋" w:cs="仿宋" w:hint="eastAsia"/>
          <w:b/>
          <w:color w:val="000000"/>
          <w:w w:val="96"/>
          <w:sz w:val="32"/>
          <w:szCs w:val="32"/>
        </w:rPr>
        <w:t>（一）</w:t>
      </w:r>
      <w:r>
        <w:rPr>
          <w:rFonts w:ascii="仿宋" w:eastAsia="仿宋" w:hAnsi="仿宋" w:cs="仿宋" w:hint="eastAsia"/>
          <w:b/>
          <w:sz w:val="32"/>
          <w:szCs w:val="32"/>
        </w:rPr>
        <w:t>党建工作</w:t>
      </w:r>
    </w:p>
    <w:p w:rsidR="00CF2B20" w:rsidRDefault="00B24772">
      <w:pPr>
        <w:spacing w:line="580" w:lineRule="exact"/>
        <w:ind w:firstLineChars="200" w:firstLine="640"/>
        <w:rPr>
          <w:rFonts w:ascii="仿宋" w:eastAsia="仿宋" w:hAnsi="仿宋" w:cs="仿宋"/>
          <w:sz w:val="32"/>
          <w:szCs w:val="32"/>
        </w:rPr>
      </w:pPr>
      <w:r>
        <w:rPr>
          <w:rFonts w:ascii="仿宋" w:eastAsia="仿宋" w:hAnsi="仿宋" w:cs="仿宋" w:hint="eastAsia"/>
          <w:bCs/>
          <w:sz w:val="32"/>
          <w:szCs w:val="32"/>
        </w:rPr>
        <w:lastRenderedPageBreak/>
        <w:t>1、认真开展党纪学习教育。积极</w:t>
      </w:r>
      <w:r>
        <w:rPr>
          <w:rFonts w:ascii="仿宋" w:eastAsia="仿宋" w:hAnsi="仿宋" w:cs="仿宋" w:hint="eastAsia"/>
          <w:sz w:val="32"/>
          <w:szCs w:val="32"/>
        </w:rPr>
        <w:t>参加厅机关党委组织的读书班2天和党总支的党纪学习教育动员会。党支部召开动员部署会，共开展党纪专题学习5次，</w:t>
      </w:r>
      <w:r>
        <w:rPr>
          <w:rStyle w:val="a9"/>
          <w:rFonts w:ascii="仿宋" w:eastAsia="仿宋" w:hAnsi="仿宋" w:cs="仿宋" w:hint="eastAsia"/>
          <w:b w:val="0"/>
          <w:bCs/>
          <w:sz w:val="32"/>
          <w:szCs w:val="32"/>
          <w:shd w:val="clear" w:color="auto" w:fill="FFFFFF"/>
        </w:rPr>
        <w:t>交流研讨2次，</w:t>
      </w:r>
      <w:r>
        <w:rPr>
          <w:rFonts w:ascii="仿宋" w:eastAsia="仿宋" w:hAnsi="仿宋" w:cs="仿宋" w:hint="eastAsia"/>
          <w:sz w:val="32"/>
          <w:szCs w:val="32"/>
        </w:rPr>
        <w:t>原原本本、逐条逐句的学习了《中国共产党纪律处分条例》，学习了《习近平关于全面加强党的纪律建设论述摘编》、《中国共产党问责条例》、《中国共产党廉洁自律准则》、</w:t>
      </w:r>
      <w:r>
        <w:rPr>
          <w:rStyle w:val="a9"/>
          <w:rFonts w:ascii="仿宋" w:eastAsia="仿宋" w:hAnsi="仿宋" w:cs="仿宋" w:hint="eastAsia"/>
          <w:b w:val="0"/>
          <w:bCs/>
          <w:sz w:val="32"/>
          <w:szCs w:val="32"/>
          <w:shd w:val="clear" w:color="auto" w:fill="FFFFFF"/>
        </w:rPr>
        <w:t>《中国共产党巡视工作条例》等内容，观</w:t>
      </w:r>
      <w:r>
        <w:rPr>
          <w:rFonts w:ascii="仿宋" w:eastAsia="仿宋" w:hAnsi="仿宋" w:cs="仿宋" w:hint="eastAsia"/>
          <w:sz w:val="32"/>
          <w:szCs w:val="32"/>
        </w:rPr>
        <w:t>看了《持续发力纵深推进》、</w:t>
      </w:r>
      <w:r>
        <w:rPr>
          <w:rStyle w:val="a9"/>
          <w:rFonts w:ascii="仿宋" w:eastAsia="仿宋" w:hAnsi="仿宋" w:cs="仿宋" w:hint="eastAsia"/>
          <w:b w:val="0"/>
          <w:bCs/>
          <w:sz w:val="32"/>
          <w:szCs w:val="32"/>
          <w:shd w:val="clear" w:color="auto" w:fill="FFFFFF"/>
        </w:rPr>
        <w:t>《零容忍》、《永远吹冲锋号》</w:t>
      </w:r>
      <w:r>
        <w:rPr>
          <w:rFonts w:ascii="仿宋" w:eastAsia="仿宋" w:hAnsi="仿宋" w:cs="仿宋" w:hint="eastAsia"/>
          <w:sz w:val="32"/>
          <w:szCs w:val="32"/>
        </w:rPr>
        <w:t>警示教育片</w:t>
      </w:r>
      <w:r>
        <w:rPr>
          <w:rStyle w:val="a9"/>
          <w:rFonts w:ascii="仿宋" w:eastAsia="仿宋" w:hAnsi="仿宋" w:cs="仿宋" w:hint="eastAsia"/>
          <w:b w:val="0"/>
          <w:bCs/>
          <w:sz w:val="32"/>
          <w:szCs w:val="32"/>
          <w:shd w:val="clear" w:color="auto" w:fill="FFFFFF"/>
        </w:rPr>
        <w:t>3次。观看《违纪违法干部忏悔录》，用反面典型案例，发挥以案示警、以案为戒的作用，教育党员干部提高纪律意识</w:t>
      </w:r>
      <w:r>
        <w:rPr>
          <w:rFonts w:ascii="仿宋" w:eastAsia="仿宋" w:hAnsi="仿宋" w:cs="仿宋" w:hint="eastAsia"/>
          <w:sz w:val="32"/>
          <w:szCs w:val="32"/>
        </w:rPr>
        <w:t>。党支部书记以“做学纪知纪明纪守纪的模范党员干部”为题讲专题党课1次。开展“深化党纪学习，严守纪律底线”主题党日活动1次，</w:t>
      </w:r>
      <w:r>
        <w:rPr>
          <w:rFonts w:ascii="仿宋" w:eastAsia="仿宋" w:hAnsi="仿宋" w:cs="仿宋" w:hint="eastAsia"/>
          <w:b/>
          <w:bCs/>
          <w:sz w:val="32"/>
          <w:szCs w:val="32"/>
        </w:rPr>
        <w:t xml:space="preserve"> </w:t>
      </w:r>
      <w:r>
        <w:rPr>
          <w:rFonts w:ascii="仿宋" w:eastAsia="仿宋" w:hAnsi="仿宋" w:cs="仿宋" w:hint="eastAsia"/>
          <w:sz w:val="32"/>
          <w:szCs w:val="32"/>
        </w:rPr>
        <w:t>进行了党纪知识测试，全体党员干部重温入党誓词。</w:t>
      </w:r>
    </w:p>
    <w:p w:rsidR="00CF2B20" w:rsidRDefault="00B24772">
      <w:pPr>
        <w:spacing w:line="58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bCs/>
          <w:sz w:val="32"/>
          <w:szCs w:val="32"/>
        </w:rPr>
        <w:t>扎实</w:t>
      </w:r>
      <w:r>
        <w:rPr>
          <w:rFonts w:ascii="仿宋" w:eastAsia="仿宋" w:hAnsi="仿宋" w:cs="仿宋" w:hint="eastAsia"/>
          <w:sz w:val="32"/>
          <w:szCs w:val="32"/>
        </w:rPr>
        <w:t>开展“感党恩、听党话、跟党走”群众教育实践活动。开展专题学习研讨1次，支部书记庞建斌同志以“感党恩、听党话、跟党走，做新时代空中电波卫士”为题为全体党员干部讲授专题党课1次。组织全体党员干部观看红色电影《长征》，联合</w:t>
      </w:r>
      <w:proofErr w:type="gramStart"/>
      <w:r>
        <w:rPr>
          <w:rFonts w:ascii="仿宋" w:eastAsia="仿宋" w:hAnsi="仿宋" w:cs="仿宋" w:hint="eastAsia"/>
          <w:sz w:val="32"/>
          <w:szCs w:val="32"/>
        </w:rPr>
        <w:t>楚古兰</w:t>
      </w:r>
      <w:proofErr w:type="gramEnd"/>
      <w:r>
        <w:rPr>
          <w:rFonts w:ascii="仿宋" w:eastAsia="仿宋" w:hAnsi="仿宋" w:cs="仿宋" w:hint="eastAsia"/>
          <w:sz w:val="32"/>
          <w:szCs w:val="32"/>
        </w:rPr>
        <w:t>街道乌兰牧骑社区党支部开展“聆听英雄事迹，铸就无线忠诚”主题党日活动，认真聆听老战士讲述其浴血奋战的革命历程，重温那波澜壮阔的革命岁月。组织全体党员干部到结对社区开展“双报到、双服务”活动，深入</w:t>
      </w:r>
      <w:proofErr w:type="gramStart"/>
      <w:r>
        <w:rPr>
          <w:rFonts w:ascii="仿宋" w:eastAsia="仿宋" w:hAnsi="仿宋" w:cs="仿宋" w:hint="eastAsia"/>
          <w:sz w:val="32"/>
          <w:szCs w:val="32"/>
        </w:rPr>
        <w:t>楚古兰</w:t>
      </w:r>
      <w:proofErr w:type="gramEnd"/>
      <w:r>
        <w:rPr>
          <w:rFonts w:ascii="仿宋" w:eastAsia="仿宋" w:hAnsi="仿宋" w:cs="仿宋" w:hint="eastAsia"/>
          <w:sz w:val="32"/>
          <w:szCs w:val="32"/>
        </w:rPr>
        <w:t>街道办乌兰牧骑社区，对社区困难家庭低保户德格</w:t>
      </w:r>
      <w:proofErr w:type="gramStart"/>
      <w:r>
        <w:rPr>
          <w:rFonts w:ascii="仿宋" w:eastAsia="仿宋" w:hAnsi="仿宋" w:cs="仿宋" w:hint="eastAsia"/>
          <w:sz w:val="32"/>
          <w:szCs w:val="32"/>
        </w:rPr>
        <w:t>希老人</w:t>
      </w:r>
      <w:proofErr w:type="gramEnd"/>
      <w:r>
        <w:rPr>
          <w:rFonts w:ascii="仿宋" w:eastAsia="仿宋" w:hAnsi="仿宋" w:cs="仿宋" w:hint="eastAsia"/>
          <w:sz w:val="32"/>
          <w:szCs w:val="32"/>
        </w:rPr>
        <w:t>开展走访慰问活动。为深化活动成效，加强宣传，在办公楼的LED显示屏滚动播放“感党恩、听党话、跟党走”群众教育实践活动的宣传标语。</w:t>
      </w:r>
    </w:p>
    <w:p w:rsidR="00CF2B20" w:rsidRDefault="00B24772">
      <w:pPr>
        <w:spacing w:line="580" w:lineRule="exact"/>
        <w:ind w:firstLineChars="200" w:firstLine="640"/>
        <w:rPr>
          <w:rStyle w:val="a9"/>
          <w:rFonts w:ascii="仿宋" w:eastAsia="仿宋" w:hAnsi="仿宋" w:cs="仿宋"/>
          <w:b w:val="0"/>
          <w:sz w:val="32"/>
          <w:szCs w:val="32"/>
          <w:shd w:val="clear" w:color="auto" w:fill="FFFFFF"/>
        </w:rPr>
      </w:pPr>
      <w:r>
        <w:rPr>
          <w:rFonts w:ascii="仿宋" w:eastAsia="仿宋" w:hAnsi="仿宋" w:cs="仿宋" w:hint="eastAsia"/>
          <w:color w:val="000000"/>
          <w:kern w:val="0"/>
          <w:sz w:val="32"/>
          <w:szCs w:val="32"/>
        </w:rPr>
        <w:t>3、加强</w:t>
      </w:r>
      <w:r>
        <w:rPr>
          <w:rFonts w:ascii="仿宋" w:eastAsia="仿宋" w:hAnsi="仿宋" w:cs="仿宋" w:hint="eastAsia"/>
          <w:sz w:val="32"/>
          <w:szCs w:val="32"/>
        </w:rPr>
        <w:t>政治</w:t>
      </w:r>
      <w:r>
        <w:rPr>
          <w:rFonts w:ascii="仿宋" w:eastAsia="仿宋" w:hAnsi="仿宋" w:cs="仿宋" w:hint="eastAsia"/>
          <w:kern w:val="0"/>
          <w:sz w:val="32"/>
          <w:szCs w:val="32"/>
        </w:rPr>
        <w:t>学习，强化理论武装。</w:t>
      </w:r>
      <w:r>
        <w:rPr>
          <w:rFonts w:ascii="仿宋" w:eastAsia="仿宋" w:hAnsi="仿宋" w:cs="仿宋" w:hint="eastAsia"/>
          <w:sz w:val="32"/>
          <w:szCs w:val="32"/>
        </w:rPr>
        <w:t>每月开展2次集体学习</w:t>
      </w:r>
      <w:r>
        <w:rPr>
          <w:rFonts w:ascii="仿宋" w:eastAsia="仿宋" w:hAnsi="仿宋" w:cs="仿宋" w:hint="eastAsia"/>
          <w:color w:val="000000"/>
          <w:kern w:val="0"/>
          <w:sz w:val="32"/>
          <w:szCs w:val="32"/>
        </w:rPr>
        <w:t>，认真</w:t>
      </w:r>
      <w:r>
        <w:rPr>
          <w:rFonts w:ascii="仿宋" w:eastAsia="仿宋" w:hAnsi="仿宋" w:cs="仿宋" w:hint="eastAsia"/>
          <w:color w:val="000000"/>
          <w:kern w:val="0"/>
          <w:sz w:val="32"/>
          <w:szCs w:val="32"/>
        </w:rPr>
        <w:lastRenderedPageBreak/>
        <w:t>学</w:t>
      </w:r>
      <w:proofErr w:type="gramStart"/>
      <w:r>
        <w:rPr>
          <w:rFonts w:ascii="仿宋" w:eastAsia="仿宋" w:hAnsi="仿宋" w:cs="仿宋" w:hint="eastAsia"/>
          <w:color w:val="000000"/>
          <w:kern w:val="0"/>
          <w:sz w:val="32"/>
          <w:szCs w:val="32"/>
        </w:rPr>
        <w:t>习习近</w:t>
      </w:r>
      <w:proofErr w:type="gramEnd"/>
      <w:r>
        <w:rPr>
          <w:rFonts w:ascii="仿宋" w:eastAsia="仿宋" w:hAnsi="仿宋" w:cs="仿宋" w:hint="eastAsia"/>
          <w:color w:val="000000"/>
          <w:kern w:val="0"/>
          <w:sz w:val="32"/>
          <w:szCs w:val="32"/>
        </w:rPr>
        <w:t>平总书记对内蒙古的重要指示和讲话精神，专题学习了全国两会精神、党的二十届三中全会精神，学习了</w:t>
      </w:r>
      <w:r>
        <w:rPr>
          <w:rStyle w:val="a9"/>
          <w:rFonts w:ascii="仿宋" w:eastAsia="仿宋" w:hAnsi="仿宋" w:cs="仿宋" w:hint="eastAsia"/>
          <w:b w:val="0"/>
          <w:sz w:val="32"/>
          <w:szCs w:val="32"/>
          <w:shd w:val="clear" w:color="auto" w:fill="FFFFFF"/>
        </w:rPr>
        <w:t>《铸牢中华民族共同体意识学习问答》、《中国式现代化面对面》</w:t>
      </w:r>
      <w:r>
        <w:rPr>
          <w:rFonts w:ascii="仿宋" w:eastAsia="仿宋" w:hAnsi="仿宋" w:cs="仿宋" w:hint="eastAsia"/>
          <w:sz w:val="32"/>
          <w:szCs w:val="32"/>
        </w:rPr>
        <w:t>、《“五句话”的事实和道理辅导读本》</w:t>
      </w:r>
      <w:r>
        <w:rPr>
          <w:rStyle w:val="a9"/>
          <w:rFonts w:ascii="仿宋" w:eastAsia="仿宋" w:hAnsi="仿宋" w:cs="仿宋" w:hint="eastAsia"/>
          <w:b w:val="0"/>
          <w:sz w:val="32"/>
          <w:szCs w:val="32"/>
          <w:shd w:val="clear" w:color="auto" w:fill="FFFFFF"/>
        </w:rPr>
        <w:t>、《习近平经济思想学习纲要》</w:t>
      </w:r>
      <w:r>
        <w:rPr>
          <w:rFonts w:ascii="仿宋" w:eastAsia="仿宋" w:hAnsi="仿宋" w:cs="仿宋" w:hint="eastAsia"/>
          <w:sz w:val="32"/>
          <w:szCs w:val="32"/>
        </w:rPr>
        <w:t>、</w:t>
      </w:r>
      <w:r>
        <w:rPr>
          <w:rStyle w:val="a9"/>
          <w:rFonts w:ascii="仿宋" w:eastAsia="仿宋" w:hAnsi="仿宋" w:cs="仿宋" w:hint="eastAsia"/>
          <w:b w:val="0"/>
          <w:sz w:val="32"/>
          <w:szCs w:val="32"/>
          <w:shd w:val="clear" w:color="auto" w:fill="FFFFFF"/>
        </w:rPr>
        <w:t>《感党恩、听党话、跟党走--中国共产党领导内蒙古革命斗争史图志》等书目，目前共开展集中学习21次。</w:t>
      </w:r>
    </w:p>
    <w:p w:rsidR="00CF2B20" w:rsidRDefault="00B24772">
      <w:pPr>
        <w:spacing w:line="580" w:lineRule="exact"/>
        <w:ind w:firstLineChars="200" w:firstLine="640"/>
        <w:rPr>
          <w:rFonts w:ascii="仿宋" w:eastAsia="仿宋" w:hAnsi="仿宋" w:cs="仿宋"/>
          <w:color w:val="000000"/>
          <w:sz w:val="32"/>
          <w:szCs w:val="32"/>
          <w:shd w:val="clear" w:color="auto" w:fill="FFFFFF"/>
        </w:rPr>
      </w:pPr>
      <w:r>
        <w:rPr>
          <w:rFonts w:ascii="仿宋" w:eastAsia="仿宋" w:hAnsi="仿宋" w:cs="仿宋" w:hint="eastAsia"/>
          <w:color w:val="000000"/>
          <w:kern w:val="0"/>
          <w:sz w:val="32"/>
          <w:szCs w:val="32"/>
        </w:rPr>
        <w:t>4、规范支部日常活动。认真落实“三会一课”、谈心谈话、民主评议党员等制度，提高组织生活质量和效果。目前共召开支委会11次，党员大会6次，书记讲党课2次，民主评议党员1次，规范记录《党支部工作手册》。先后开展了</w:t>
      </w:r>
      <w:r>
        <w:rPr>
          <w:rFonts w:ascii="仿宋" w:eastAsia="仿宋" w:hAnsi="仿宋" w:cs="仿宋" w:hint="eastAsia"/>
          <w:color w:val="191919"/>
          <w:spacing w:val="8"/>
          <w:sz w:val="32"/>
          <w:szCs w:val="32"/>
          <w:shd w:val="clear" w:color="auto" w:fill="FFFFFF"/>
        </w:rPr>
        <w:t>“加强廉洁教育，筑牢思想防线”</w:t>
      </w:r>
      <w:r>
        <w:rPr>
          <w:rFonts w:ascii="仿宋" w:eastAsia="仿宋" w:hAnsi="仿宋" w:cs="仿宋" w:hint="eastAsia"/>
          <w:color w:val="000000"/>
          <w:kern w:val="0"/>
          <w:sz w:val="32"/>
          <w:szCs w:val="32"/>
        </w:rPr>
        <w:t>、</w:t>
      </w:r>
      <w:r>
        <w:rPr>
          <w:rFonts w:ascii="仿宋" w:eastAsia="仿宋" w:hAnsi="仿宋" w:cs="仿宋" w:hint="eastAsia"/>
          <w:color w:val="272727"/>
          <w:sz w:val="32"/>
          <w:szCs w:val="32"/>
          <w:shd w:val="clear" w:color="auto" w:fill="FFFFFF"/>
        </w:rPr>
        <w:t>“深化民族政策宣传教</w:t>
      </w:r>
      <w:r w:rsidR="0068712F">
        <w:rPr>
          <w:rFonts w:ascii="仿宋" w:eastAsia="仿宋" w:hAnsi="仿宋" w:cs="仿宋" w:hint="eastAsia"/>
          <w:color w:val="272727"/>
          <w:sz w:val="32"/>
          <w:szCs w:val="32"/>
          <w:shd w:val="clear" w:color="auto" w:fill="FFFFFF"/>
        </w:rPr>
        <w:t>育，铸牢中华民族共同体意识”、“深化党纪学习，严守纪律底线”、深入学习贯彻党的二十届三中全会精神</w:t>
      </w:r>
      <w:r>
        <w:rPr>
          <w:rFonts w:ascii="仿宋" w:eastAsia="仿宋" w:hAnsi="仿宋" w:cs="仿宋" w:hint="eastAsia"/>
          <w:color w:val="272727"/>
          <w:sz w:val="32"/>
          <w:szCs w:val="32"/>
          <w:shd w:val="clear" w:color="auto" w:fill="FFFFFF"/>
        </w:rPr>
        <w:t>、“深化国防宣传教育，增强服务国防意识”</w:t>
      </w:r>
      <w:r>
        <w:rPr>
          <w:rFonts w:ascii="仿宋" w:eastAsia="仿宋" w:hAnsi="仿宋" w:cs="仿宋" w:hint="eastAsia"/>
          <w:color w:val="000000"/>
          <w:kern w:val="0"/>
          <w:sz w:val="32"/>
          <w:szCs w:val="32"/>
        </w:rPr>
        <w:t>等主题鲜明、形式多样的主题党日活动9次，</w:t>
      </w:r>
      <w:r>
        <w:rPr>
          <w:rFonts w:ascii="仿宋" w:eastAsia="仿宋" w:hAnsi="仿宋" w:cs="仿宋" w:hint="eastAsia"/>
          <w:color w:val="000000"/>
          <w:sz w:val="32"/>
          <w:szCs w:val="32"/>
          <w:shd w:val="clear" w:color="auto" w:fill="FFFFFF"/>
        </w:rPr>
        <w:t>上报党务信息美篇21篇。</w:t>
      </w:r>
    </w:p>
    <w:p w:rsidR="00CF2B20" w:rsidRDefault="00B24772">
      <w:pPr>
        <w:pStyle w:val="a0"/>
        <w:spacing w:line="580" w:lineRule="exact"/>
        <w:ind w:firstLine="642"/>
        <w:jc w:val="left"/>
        <w:rPr>
          <w:rFonts w:ascii="仿宋" w:eastAsia="仿宋" w:hAnsi="仿宋" w:cs="仿宋"/>
          <w:sz w:val="32"/>
          <w:szCs w:val="32"/>
        </w:rPr>
      </w:pPr>
      <w:r>
        <w:rPr>
          <w:rFonts w:ascii="仿宋" w:eastAsia="仿宋" w:hAnsi="仿宋" w:cs="仿宋" w:hint="eastAsia"/>
          <w:sz w:val="32"/>
          <w:szCs w:val="32"/>
        </w:rPr>
        <w:t>5、加强党风廉政建设。组织全体党员学习了《中国共产党章程》、《关于新形势下党内政治生活的若干准则》、《中国共产党党内监督条例》等规章制度，</w:t>
      </w:r>
      <w:r>
        <w:rPr>
          <w:rFonts w:ascii="仿宋" w:eastAsia="仿宋" w:hAnsi="仿宋" w:cs="仿宋" w:hint="eastAsia"/>
          <w:color w:val="191919"/>
          <w:spacing w:val="8"/>
          <w:sz w:val="32"/>
          <w:szCs w:val="32"/>
          <w:shd w:val="clear" w:color="auto" w:fill="FFFFFF"/>
        </w:rPr>
        <w:t>开展了“加强廉洁教育，筑牢思想防线”主题党日活动，</w:t>
      </w:r>
      <w:r>
        <w:rPr>
          <w:rFonts w:ascii="仿宋" w:eastAsia="仿宋" w:hAnsi="仿宋" w:cs="仿宋" w:hint="eastAsia"/>
          <w:sz w:val="32"/>
          <w:szCs w:val="32"/>
        </w:rPr>
        <w:t>开展廉政警示教育，</w:t>
      </w:r>
      <w:r>
        <w:rPr>
          <w:rStyle w:val="a9"/>
          <w:rFonts w:ascii="仿宋" w:eastAsia="仿宋" w:hAnsi="仿宋" w:cs="仿宋" w:hint="eastAsia"/>
          <w:b w:val="0"/>
          <w:sz w:val="32"/>
          <w:szCs w:val="32"/>
          <w:shd w:val="clear" w:color="auto" w:fill="FFFFFF"/>
        </w:rPr>
        <w:t>学习了习近平总书记在二十届中央纪委三次全会上的重要讲话精神、二十届中央纪委三次全会公报、新修订的《中国共产党纪律处分条例》，</w:t>
      </w:r>
      <w:r>
        <w:rPr>
          <w:rFonts w:ascii="仿宋" w:eastAsia="仿宋" w:hAnsi="仿宋" w:cs="仿宋" w:hint="eastAsia"/>
          <w:sz w:val="32"/>
          <w:szCs w:val="32"/>
        </w:rPr>
        <w:t>观看了</w:t>
      </w:r>
      <w:r>
        <w:rPr>
          <w:rStyle w:val="a9"/>
          <w:rFonts w:ascii="仿宋" w:eastAsia="仿宋" w:hAnsi="仿宋" w:cs="仿宋" w:hint="eastAsia"/>
          <w:b w:val="0"/>
          <w:sz w:val="32"/>
          <w:szCs w:val="32"/>
          <w:shd w:val="clear" w:color="auto" w:fill="FFFFFF"/>
        </w:rPr>
        <w:t>《持续发力，纵深推进》</w:t>
      </w:r>
      <w:r>
        <w:rPr>
          <w:rFonts w:ascii="仿宋" w:eastAsia="仿宋" w:hAnsi="仿宋" w:cs="仿宋" w:hint="eastAsia"/>
          <w:sz w:val="32"/>
          <w:szCs w:val="32"/>
        </w:rPr>
        <w:t>警示教育片，不断强化党员干部的纪律意识，增强拒腐防变能力。在五一劳动节、中秋节、国庆节节点，召开了节前廉洁警示教育学习会，学习违反中央八项规定的典型案例，</w:t>
      </w:r>
      <w:r>
        <w:rPr>
          <w:rStyle w:val="a9"/>
          <w:rFonts w:ascii="仿宋" w:eastAsia="仿宋" w:hAnsi="仿宋" w:cs="仿宋" w:hint="eastAsia"/>
          <w:b w:val="0"/>
          <w:sz w:val="32"/>
          <w:szCs w:val="32"/>
          <w:shd w:val="clear" w:color="auto" w:fill="FFFFFF"/>
        </w:rPr>
        <w:t>进行了集体廉政谈话2次，</w:t>
      </w:r>
      <w:r>
        <w:rPr>
          <w:rFonts w:ascii="仿宋" w:eastAsia="仿宋" w:hAnsi="仿宋" w:cs="仿宋" w:hint="eastAsia"/>
          <w:sz w:val="32"/>
          <w:szCs w:val="32"/>
        </w:rPr>
        <w:t>坚决防止“四风”问题反弹，教育引导党员干部</w:t>
      </w:r>
      <w:r>
        <w:rPr>
          <w:rFonts w:ascii="仿宋" w:eastAsia="仿宋" w:hAnsi="仿宋" w:cs="仿宋" w:hint="eastAsia"/>
          <w:color w:val="333333"/>
          <w:sz w:val="32"/>
          <w:szCs w:val="32"/>
          <w:shd w:val="clear" w:color="auto" w:fill="FFFFFF"/>
        </w:rPr>
        <w:t>守住廉洁底线，筑牢思想防</w:t>
      </w:r>
      <w:r>
        <w:rPr>
          <w:rFonts w:ascii="仿宋" w:eastAsia="仿宋" w:hAnsi="仿宋" w:cs="仿宋" w:hint="eastAsia"/>
          <w:color w:val="333333"/>
          <w:sz w:val="32"/>
          <w:szCs w:val="32"/>
          <w:shd w:val="clear" w:color="auto" w:fill="FFFFFF"/>
        </w:rPr>
        <w:lastRenderedPageBreak/>
        <w:t>线</w:t>
      </w:r>
      <w:r>
        <w:rPr>
          <w:rFonts w:ascii="仿宋" w:eastAsia="仿宋" w:hAnsi="仿宋" w:cs="仿宋" w:hint="eastAsia"/>
          <w:sz w:val="32"/>
          <w:szCs w:val="32"/>
        </w:rPr>
        <w:t>。</w:t>
      </w:r>
    </w:p>
    <w:p w:rsidR="00CF2B20" w:rsidRDefault="00B24772">
      <w:pPr>
        <w:spacing w:line="580" w:lineRule="exact"/>
        <w:ind w:firstLineChars="200" w:firstLine="640"/>
        <w:rPr>
          <w:rStyle w:val="a9"/>
          <w:rFonts w:ascii="仿宋" w:eastAsia="仿宋" w:hAnsi="仿宋" w:cs="仿宋"/>
          <w:b w:val="0"/>
          <w:sz w:val="32"/>
          <w:szCs w:val="32"/>
          <w:shd w:val="clear" w:color="auto" w:fill="FFFFFF"/>
        </w:rPr>
      </w:pPr>
      <w:r>
        <w:rPr>
          <w:rFonts w:ascii="仿宋" w:eastAsia="仿宋" w:hAnsi="仿宋" w:cs="仿宋" w:hint="eastAsia"/>
          <w:color w:val="000000"/>
          <w:kern w:val="0"/>
          <w:sz w:val="32"/>
          <w:szCs w:val="32"/>
        </w:rPr>
        <w:t>6、做好</w:t>
      </w:r>
      <w:r>
        <w:rPr>
          <w:rFonts w:ascii="仿宋" w:eastAsia="仿宋" w:hAnsi="仿宋" w:cs="仿宋" w:hint="eastAsia"/>
          <w:sz w:val="32"/>
          <w:szCs w:val="32"/>
        </w:rPr>
        <w:t>意识形态工作。</w:t>
      </w:r>
      <w:r>
        <w:rPr>
          <w:rFonts w:ascii="仿宋" w:eastAsia="仿宋" w:hAnsi="仿宋" w:cs="仿宋" w:hint="eastAsia"/>
          <w:color w:val="000000"/>
          <w:sz w:val="32"/>
          <w:szCs w:val="32"/>
        </w:rPr>
        <w:t>定期对全局意识形态工作进行</w:t>
      </w:r>
      <w:proofErr w:type="gramStart"/>
      <w:r>
        <w:rPr>
          <w:rFonts w:ascii="仿宋" w:eastAsia="仿宋" w:hAnsi="仿宋" w:cs="仿宋" w:hint="eastAsia"/>
          <w:color w:val="000000"/>
          <w:sz w:val="32"/>
          <w:szCs w:val="32"/>
        </w:rPr>
        <w:t>研</w:t>
      </w:r>
      <w:proofErr w:type="gramEnd"/>
      <w:r>
        <w:rPr>
          <w:rFonts w:ascii="仿宋" w:eastAsia="仿宋" w:hAnsi="仿宋" w:cs="仿宋" w:hint="eastAsia"/>
          <w:color w:val="000000"/>
          <w:sz w:val="32"/>
          <w:szCs w:val="32"/>
        </w:rPr>
        <w:t>判，加强民族团结进步教育，不断铸牢中华民族共同体意识。在5月份的民族政策宣传月活动中，开展了“深化民族政策宣传教育，铸牢中华民族共同体意识”主题党日活动，</w:t>
      </w:r>
      <w:r>
        <w:rPr>
          <w:rStyle w:val="a9"/>
          <w:rFonts w:ascii="仿宋" w:eastAsia="仿宋" w:hAnsi="仿宋" w:cs="仿宋" w:hint="eastAsia"/>
          <w:b w:val="0"/>
          <w:sz w:val="32"/>
          <w:szCs w:val="32"/>
          <w:shd w:val="clear" w:color="auto" w:fill="FFFFFF"/>
        </w:rPr>
        <w:t>学习了习近平总书记关于加强和改进民族工作的重要思想、习近平总书记对内蒙古的重要指示精神、《内蒙古自治区促进民族团结进步条例》、《内蒙古自治区党委关于全方位建设模范自治区的决定》等民族理论政策和法律法规内容，观看了民族主旋律纪录片《国家的孩子》，走进锡林郭勒盟供电公司参观了</w:t>
      </w:r>
      <w:proofErr w:type="gramStart"/>
      <w:r>
        <w:rPr>
          <w:rStyle w:val="a9"/>
          <w:rFonts w:ascii="仿宋" w:eastAsia="仿宋" w:hAnsi="仿宋" w:cs="仿宋" w:hint="eastAsia"/>
          <w:b w:val="0"/>
          <w:sz w:val="32"/>
          <w:szCs w:val="32"/>
          <w:shd w:val="clear" w:color="auto" w:fill="FFFFFF"/>
        </w:rPr>
        <w:t>锡林郭勒盟铸牢</w:t>
      </w:r>
      <w:proofErr w:type="gramEnd"/>
      <w:r>
        <w:rPr>
          <w:rStyle w:val="a9"/>
          <w:rFonts w:ascii="仿宋" w:eastAsia="仿宋" w:hAnsi="仿宋" w:cs="仿宋" w:hint="eastAsia"/>
          <w:b w:val="0"/>
          <w:sz w:val="32"/>
          <w:szCs w:val="32"/>
          <w:shd w:val="clear" w:color="auto" w:fill="FFFFFF"/>
        </w:rPr>
        <w:t>中华民族共同体意识教育实践基地，</w:t>
      </w:r>
      <w:r>
        <w:rPr>
          <w:rFonts w:ascii="仿宋" w:eastAsia="仿宋" w:hAnsi="仿宋" w:cs="仿宋" w:hint="eastAsia"/>
          <w:color w:val="000000"/>
          <w:sz w:val="32"/>
          <w:szCs w:val="32"/>
        </w:rPr>
        <w:t>不断增强党员干部做好民族工作的政治责任感和历史使命感。在9月份的民族团结进步活动月中，开展了“民族团结进步活动月”主题党日活动，学习了</w:t>
      </w:r>
      <w:r>
        <w:rPr>
          <w:rStyle w:val="a9"/>
          <w:rFonts w:ascii="仿宋" w:eastAsia="仿宋" w:hAnsi="仿宋" w:cs="仿宋" w:hint="eastAsia"/>
          <w:b w:val="0"/>
          <w:sz w:val="32"/>
          <w:szCs w:val="32"/>
          <w:shd w:val="clear" w:color="auto" w:fill="FFFFFF"/>
        </w:rPr>
        <w:t>习近平总书记在全国民族团结进步表彰大会上的重要讲话精神、习近平总书记在中央党校新疆民族干部培训班创办70周年之际做出的重要指示精神、关于加强和改进民族工作的重要思想、对内蒙古的重要指示精神</w:t>
      </w:r>
      <w:r>
        <w:rPr>
          <w:rFonts w:ascii="仿宋" w:eastAsia="仿宋" w:hAnsi="仿宋" w:cs="仿宋" w:hint="eastAsia"/>
          <w:color w:val="000000"/>
          <w:sz w:val="32"/>
          <w:szCs w:val="32"/>
        </w:rPr>
        <w:t>，</w:t>
      </w:r>
      <w:r>
        <w:rPr>
          <w:rFonts w:ascii="仿宋" w:eastAsia="仿宋" w:hAnsi="仿宋" w:cs="仿宋" w:hint="eastAsia"/>
          <w:sz w:val="32"/>
          <w:szCs w:val="32"/>
        </w:rPr>
        <w:t>《内蒙古自治区促进民族团结进步条例》，</w:t>
      </w:r>
      <w:r>
        <w:rPr>
          <w:rStyle w:val="a9"/>
          <w:rFonts w:ascii="仿宋" w:eastAsia="仿宋" w:hAnsi="仿宋" w:cs="仿宋" w:hint="eastAsia"/>
          <w:b w:val="0"/>
          <w:sz w:val="32"/>
          <w:szCs w:val="32"/>
          <w:shd w:val="clear" w:color="auto" w:fill="FFFFFF"/>
        </w:rPr>
        <w:t>观看了民族团结宣传片《同心共筑中国梦》第三集《手足相亲》，组织党员干部赴“守望相助”团结奋斗—锡林郭勒盟民族团结进步教育基地参观学习。</w:t>
      </w:r>
    </w:p>
    <w:p w:rsidR="00CF2B20" w:rsidRDefault="00B24772">
      <w:pPr>
        <w:pStyle w:val="a0"/>
        <w:spacing w:line="580" w:lineRule="exact"/>
        <w:ind w:firstLineChars="200" w:firstLine="643"/>
        <w:jc w:val="left"/>
        <w:rPr>
          <w:rStyle w:val="a9"/>
          <w:rFonts w:ascii="仿宋" w:eastAsia="仿宋" w:hAnsi="仿宋" w:cs="仿宋"/>
          <w:bCs/>
          <w:sz w:val="32"/>
          <w:szCs w:val="32"/>
          <w:shd w:val="clear" w:color="auto" w:fill="FFFFFF"/>
        </w:rPr>
      </w:pPr>
      <w:r>
        <w:rPr>
          <w:rFonts w:ascii="仿宋" w:eastAsia="仿宋" w:hAnsi="仿宋" w:cs="仿宋" w:hint="eastAsia"/>
          <w:b/>
          <w:bCs/>
          <w:sz w:val="32"/>
          <w:szCs w:val="32"/>
        </w:rPr>
        <w:t>（二）</w:t>
      </w:r>
      <w:r>
        <w:rPr>
          <w:rFonts w:ascii="仿宋" w:eastAsia="仿宋" w:hAnsi="仿宋" w:cs="仿宋" w:hint="eastAsia"/>
          <w:b/>
          <w:sz w:val="32"/>
          <w:szCs w:val="32"/>
        </w:rPr>
        <w:t>无线电管理业务工作</w:t>
      </w:r>
    </w:p>
    <w:p w:rsidR="00CF2B20" w:rsidRDefault="00B24772">
      <w:pPr>
        <w:spacing w:line="580" w:lineRule="exact"/>
        <w:ind w:firstLineChars="300" w:firstLine="960"/>
        <w:rPr>
          <w:rFonts w:ascii="仿宋" w:eastAsia="仿宋" w:hAnsi="仿宋" w:cs="仿宋"/>
          <w:color w:val="000000"/>
          <w:kern w:val="0"/>
          <w:sz w:val="32"/>
          <w:szCs w:val="32"/>
        </w:rPr>
      </w:pPr>
      <w:r>
        <w:rPr>
          <w:rFonts w:ascii="仿宋" w:eastAsia="仿宋" w:hAnsi="仿宋" w:cs="仿宋" w:hint="eastAsia"/>
          <w:color w:val="000000"/>
          <w:sz w:val="32"/>
          <w:szCs w:val="32"/>
        </w:rPr>
        <w:t>1、强化无线电频率台站管理。严格规范审批程序，按时限完成无线电管理台站许可265件，办理无线电台265部，办理业余台站22部。开展无线电频率占用费收取工作，共收取251255元，圆满完成年度收费任务。</w:t>
      </w:r>
      <w:r>
        <w:rPr>
          <w:rFonts w:ascii="仿宋" w:eastAsia="仿宋" w:hAnsi="仿宋" w:cs="仿宋" w:hint="eastAsia"/>
          <w:sz w:val="32"/>
          <w:szCs w:val="32"/>
        </w:rPr>
        <w:t>开展在用无线电频率台站监督检查工作</w:t>
      </w:r>
      <w:r>
        <w:rPr>
          <w:rFonts w:ascii="仿宋" w:eastAsia="仿宋" w:hAnsi="仿宋" w:cs="仿宋" w:hint="eastAsia"/>
          <w:color w:val="000000"/>
          <w:sz w:val="32"/>
          <w:szCs w:val="32"/>
        </w:rPr>
        <w:t>。现场核查设台单位9家，现场核查台站81部。</w:t>
      </w:r>
      <w:r>
        <w:rPr>
          <w:rFonts w:ascii="仿宋" w:eastAsia="仿宋" w:hAnsi="仿宋" w:cs="仿宋" w:hint="eastAsia"/>
          <w:sz w:val="32"/>
          <w:szCs w:val="32"/>
        </w:rPr>
        <w:t>开展无线电发射设备销售备案及销售</w:t>
      </w:r>
      <w:r>
        <w:rPr>
          <w:rFonts w:ascii="仿宋" w:eastAsia="仿宋" w:hAnsi="仿宋" w:cs="仿宋" w:hint="eastAsia"/>
          <w:sz w:val="32"/>
          <w:szCs w:val="32"/>
        </w:rPr>
        <w:lastRenderedPageBreak/>
        <w:t>市场监督检查，完成12家经营主体审核，285套发射设备备案审核，现场检查经销商15家，对检查中发现无型号核准代码设备，要求经销商立即整改下架。上报工作信息20篇。</w:t>
      </w:r>
    </w:p>
    <w:p w:rsidR="00CF2B20" w:rsidRDefault="00B24772">
      <w:pPr>
        <w:spacing w:line="580" w:lineRule="exact"/>
        <w:ind w:firstLineChars="200" w:firstLine="640"/>
        <w:rPr>
          <w:rFonts w:ascii="仿宋" w:eastAsia="仿宋" w:hAnsi="仿宋" w:cs="仿宋"/>
          <w:color w:val="000000"/>
          <w:sz w:val="32"/>
          <w:szCs w:val="32"/>
        </w:rPr>
      </w:pPr>
      <w:r>
        <w:rPr>
          <w:rFonts w:ascii="仿宋" w:eastAsia="仿宋" w:hAnsi="仿宋" w:cs="仿宋" w:hint="eastAsia"/>
          <w:bCs/>
          <w:color w:val="000000"/>
          <w:sz w:val="32"/>
          <w:szCs w:val="32"/>
        </w:rPr>
        <w:t>2、强化</w:t>
      </w:r>
      <w:r>
        <w:rPr>
          <w:rFonts w:ascii="仿宋" w:eastAsia="仿宋" w:hAnsi="仿宋" w:cs="仿宋" w:hint="eastAsia"/>
          <w:color w:val="000000"/>
          <w:kern w:val="0"/>
          <w:sz w:val="32"/>
          <w:szCs w:val="32"/>
        </w:rPr>
        <w:t>监测分析。按照自治区监测站加强无线电监测工作的通知安排，</w:t>
      </w:r>
      <w:r>
        <w:rPr>
          <w:rFonts w:ascii="仿宋" w:eastAsia="仿宋" w:hAnsi="仿宋" w:cs="仿宋" w:hint="eastAsia"/>
          <w:color w:val="000000"/>
          <w:sz w:val="32"/>
          <w:szCs w:val="32"/>
        </w:rPr>
        <w:t>完成重点频段监测3288小时，按时限上报无线电频谱监测统计月报6期、无线电监测和行政执法工作报告2期。开展无线电检测，</w:t>
      </w:r>
      <w:r>
        <w:rPr>
          <w:rFonts w:ascii="仿宋" w:eastAsia="仿宋" w:hAnsi="仿宋" w:cs="仿宋" w:hint="eastAsia"/>
          <w:sz w:val="32"/>
          <w:szCs w:val="32"/>
        </w:rPr>
        <w:t>检测业余无线电台10部，抽检公众移动通信基站7部。</w:t>
      </w:r>
      <w:r>
        <w:rPr>
          <w:rFonts w:ascii="仿宋" w:eastAsia="仿宋" w:hAnsi="仿宋" w:cs="仿宋" w:hint="eastAsia"/>
          <w:color w:val="000000"/>
          <w:sz w:val="32"/>
          <w:szCs w:val="32"/>
        </w:rPr>
        <w:t>加强监测设备、移动监测车的管理维护，</w:t>
      </w:r>
      <w:r>
        <w:rPr>
          <w:rFonts w:ascii="仿宋" w:eastAsia="仿宋" w:hAnsi="仿宋" w:cs="仿宋" w:hint="eastAsia"/>
          <w:sz w:val="32"/>
          <w:szCs w:val="32"/>
        </w:rPr>
        <w:t>开展全盟铁塔机房环境治理“回头看”工作，联合铁塔公司对16处铁塔机房站</w:t>
      </w:r>
      <w:proofErr w:type="gramStart"/>
      <w:r>
        <w:rPr>
          <w:rFonts w:ascii="仿宋" w:eastAsia="仿宋" w:hAnsi="仿宋" w:cs="仿宋" w:hint="eastAsia"/>
          <w:sz w:val="32"/>
          <w:szCs w:val="32"/>
        </w:rPr>
        <w:t>址进行</w:t>
      </w:r>
      <w:proofErr w:type="gramEnd"/>
      <w:r>
        <w:rPr>
          <w:rFonts w:ascii="仿宋" w:eastAsia="仿宋" w:hAnsi="仿宋" w:cs="仿宋" w:hint="eastAsia"/>
          <w:sz w:val="32"/>
          <w:szCs w:val="32"/>
        </w:rPr>
        <w:t>整改，全部做到环境整洁、空调正常，运行安全。巡检28套</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设备，全部张贴设备铭牌。完成了镶黄旗四类监测站和1座二连市边境频率管理站站址搬迁，太仆寺旗和苏尼特右旗监测站的室内机柜更换为封闭性能更好的机柜，</w:t>
      </w:r>
      <w:proofErr w:type="gramStart"/>
      <w:r>
        <w:rPr>
          <w:rFonts w:ascii="仿宋" w:eastAsia="仿宋" w:hAnsi="仿宋" w:cs="仿宋" w:hint="eastAsia"/>
          <w:sz w:val="32"/>
          <w:szCs w:val="32"/>
        </w:rPr>
        <w:t>朱日和</w:t>
      </w:r>
      <w:proofErr w:type="gramEnd"/>
      <w:r>
        <w:rPr>
          <w:rFonts w:ascii="仿宋" w:eastAsia="仿宋" w:hAnsi="仿宋" w:cs="仿宋" w:hint="eastAsia"/>
          <w:sz w:val="32"/>
          <w:szCs w:val="32"/>
        </w:rPr>
        <w:t>固定监测站更换为独立机柜，</w:t>
      </w:r>
      <w:proofErr w:type="gramStart"/>
      <w:r>
        <w:rPr>
          <w:rFonts w:ascii="仿宋" w:eastAsia="仿宋" w:hAnsi="仿宋" w:cs="仿宋" w:hint="eastAsia"/>
          <w:sz w:val="32"/>
          <w:szCs w:val="32"/>
        </w:rPr>
        <w:t>珠恩嘎</w:t>
      </w:r>
      <w:proofErr w:type="gramEnd"/>
      <w:r>
        <w:rPr>
          <w:rFonts w:ascii="仿宋" w:eastAsia="仿宋" w:hAnsi="仿宋" w:cs="仿宋" w:hint="eastAsia"/>
          <w:sz w:val="32"/>
          <w:szCs w:val="32"/>
        </w:rPr>
        <w:t>达布其口岸监测站电源故障的维修更换</w:t>
      </w:r>
      <w:r>
        <w:rPr>
          <w:rFonts w:ascii="仿宋" w:eastAsia="仿宋" w:hAnsi="仿宋" w:cs="仿宋" w:hint="eastAsia"/>
          <w:color w:val="000000"/>
          <w:sz w:val="32"/>
          <w:szCs w:val="32"/>
        </w:rPr>
        <w:t>。维修升级了HR-11S移动监测设备电源系统。受理干扰申告12起，完成查处12起</w:t>
      </w:r>
      <w:r>
        <w:rPr>
          <w:rFonts w:ascii="仿宋" w:eastAsia="仿宋" w:hAnsi="仿宋" w:cs="仿宋" w:hint="eastAsia"/>
          <w:color w:val="000000"/>
          <w:kern w:val="0"/>
          <w:sz w:val="32"/>
          <w:szCs w:val="32"/>
        </w:rPr>
        <w:t>。</w:t>
      </w:r>
      <w:r>
        <w:rPr>
          <w:rFonts w:ascii="仿宋" w:eastAsia="仿宋" w:hAnsi="仿宋" w:cs="仿宋" w:hint="eastAsia"/>
          <w:color w:val="000000"/>
          <w:sz w:val="32"/>
          <w:szCs w:val="32"/>
        </w:rPr>
        <w:t>按照无委办中蒙边境电磁环境测试工作安排，开展二连浩特市和东乌珠穆沁</w:t>
      </w:r>
      <w:proofErr w:type="gramStart"/>
      <w:r>
        <w:rPr>
          <w:rFonts w:ascii="仿宋" w:eastAsia="仿宋" w:hAnsi="仿宋" w:cs="仿宋" w:hint="eastAsia"/>
          <w:color w:val="000000"/>
          <w:sz w:val="32"/>
          <w:szCs w:val="32"/>
        </w:rPr>
        <w:t>旗珠恩</w:t>
      </w:r>
      <w:proofErr w:type="gramEnd"/>
      <w:r>
        <w:rPr>
          <w:rFonts w:ascii="仿宋" w:eastAsia="仿宋" w:hAnsi="仿宋" w:cs="仿宋" w:hint="eastAsia"/>
          <w:color w:val="000000"/>
          <w:sz w:val="32"/>
          <w:szCs w:val="32"/>
        </w:rPr>
        <w:t>嘎达布其口岸两个中蒙陆路口岸的电磁环境测试，按时上报了测试报告和资料数据。</w:t>
      </w:r>
      <w:r>
        <w:rPr>
          <w:rFonts w:ascii="仿宋" w:eastAsia="仿宋" w:hAnsi="仿宋" w:cs="仿宋" w:hint="eastAsia"/>
          <w:sz w:val="32"/>
          <w:szCs w:val="32"/>
        </w:rPr>
        <w:t>配合国家监测中心完成边境口岸专项无线电频率测试工作，出动30人次，车辆3辆，</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3座，圆满完成测试任务。</w:t>
      </w:r>
      <w:r>
        <w:rPr>
          <w:rFonts w:ascii="仿宋" w:eastAsia="仿宋" w:hAnsi="仿宋" w:cs="仿宋" w:hint="eastAsia"/>
          <w:color w:val="000000"/>
          <w:sz w:val="32"/>
          <w:szCs w:val="32"/>
        </w:rPr>
        <w:t>配合锡林浩特市武装部，完成预备役人员政审、体检，民兵点验等工作。</w:t>
      </w:r>
    </w:p>
    <w:p w:rsidR="00CF2B20" w:rsidRDefault="00B24772">
      <w:pPr>
        <w:spacing w:line="580" w:lineRule="exact"/>
        <w:ind w:firstLineChars="200" w:firstLine="640"/>
        <w:rPr>
          <w:rFonts w:ascii="仿宋" w:eastAsia="仿宋" w:hAnsi="仿宋" w:cs="仿宋"/>
          <w:color w:val="000000"/>
          <w:sz w:val="32"/>
          <w:szCs w:val="32"/>
        </w:rPr>
      </w:pPr>
      <w:r>
        <w:rPr>
          <w:rFonts w:ascii="仿宋" w:eastAsia="仿宋" w:hAnsi="仿宋" w:cs="仿宋" w:hint="eastAsia"/>
          <w:bCs/>
          <w:color w:val="000000"/>
          <w:sz w:val="32"/>
          <w:szCs w:val="32"/>
        </w:rPr>
        <w:t>3、强化无线电安全保障。</w:t>
      </w:r>
      <w:r>
        <w:rPr>
          <w:rFonts w:ascii="仿宋" w:eastAsia="仿宋" w:hAnsi="仿宋" w:cs="仿宋" w:hint="eastAsia"/>
          <w:color w:val="000000"/>
          <w:sz w:val="32"/>
          <w:szCs w:val="32"/>
        </w:rPr>
        <w:t>严格执行24小时监测值班制度，认真完成重要时段和节假日无线电安全保障任务。加强监听监测，开展打击“黑广播”“伪基站”违法犯罪活动，目前未发现“黑广播”“伪基站”非法设台。配合人事、教育、财政等相关单位，完成全国普通</w:t>
      </w:r>
      <w:r>
        <w:rPr>
          <w:rFonts w:ascii="仿宋" w:eastAsia="仿宋" w:hAnsi="仿宋" w:cs="仿宋" w:hint="eastAsia"/>
          <w:color w:val="000000"/>
          <w:sz w:val="32"/>
          <w:szCs w:val="32"/>
        </w:rPr>
        <w:lastRenderedPageBreak/>
        <w:t>高校招生考试、初级会计师考试、全区公务员招录考试等27次统一考试的无线电安全保障任务，出动人员272人次，得到了主管部门的认可。建立健全</w:t>
      </w:r>
      <w:r>
        <w:rPr>
          <w:rFonts w:ascii="仿宋" w:eastAsia="仿宋" w:hAnsi="仿宋" w:cs="仿宋" w:hint="eastAsia"/>
          <w:sz w:val="32"/>
          <w:szCs w:val="32"/>
        </w:rPr>
        <w:t>中国科学院国家空间中心明安图观测站子午工程的电磁环境保护机制，开展了电磁环境保护</w:t>
      </w:r>
      <w:proofErr w:type="gramStart"/>
      <w:r>
        <w:rPr>
          <w:rFonts w:ascii="仿宋" w:eastAsia="仿宋" w:hAnsi="仿宋" w:cs="仿宋" w:hint="eastAsia"/>
          <w:sz w:val="32"/>
          <w:szCs w:val="32"/>
        </w:rPr>
        <w:t>监测监测</w:t>
      </w:r>
      <w:proofErr w:type="gramEnd"/>
      <w:r>
        <w:rPr>
          <w:rFonts w:ascii="仿宋" w:eastAsia="仿宋" w:hAnsi="仿宋" w:cs="仿宋" w:hint="eastAsia"/>
          <w:sz w:val="32"/>
          <w:szCs w:val="32"/>
        </w:rPr>
        <w:t>工作。</w:t>
      </w:r>
      <w:r>
        <w:rPr>
          <w:rFonts w:ascii="仿宋" w:eastAsia="仿宋" w:hAnsi="仿宋" w:cs="仿宋" w:hint="eastAsia"/>
          <w:color w:val="000000"/>
          <w:sz w:val="32"/>
          <w:szCs w:val="32"/>
        </w:rPr>
        <w:t>开展嫦娥六号探测器回收期间无线电安全保障，出动72人次，车辆2辆，</w:t>
      </w:r>
      <w:proofErr w:type="gramStart"/>
      <w:r>
        <w:rPr>
          <w:rFonts w:ascii="仿宋" w:eastAsia="仿宋" w:hAnsi="仿宋" w:cs="仿宋" w:hint="eastAsia"/>
          <w:color w:val="000000"/>
          <w:sz w:val="32"/>
          <w:szCs w:val="32"/>
        </w:rPr>
        <w:t>固定站</w:t>
      </w:r>
      <w:proofErr w:type="gramEnd"/>
      <w:r>
        <w:rPr>
          <w:rFonts w:ascii="仿宋" w:eastAsia="仿宋" w:hAnsi="仿宋" w:cs="仿宋" w:hint="eastAsia"/>
          <w:color w:val="000000"/>
          <w:sz w:val="32"/>
          <w:szCs w:val="32"/>
        </w:rPr>
        <w:t>2台，值班时长18小时，圆满完成保障任务。</w:t>
      </w:r>
    </w:p>
    <w:p w:rsidR="00CF2B20" w:rsidRDefault="00B24772">
      <w:pPr>
        <w:pStyle w:val="a0"/>
        <w:spacing w:line="580" w:lineRule="exact"/>
        <w:ind w:firstLineChars="200" w:firstLine="643"/>
        <w:jc w:val="left"/>
        <w:rPr>
          <w:rFonts w:ascii="仿宋" w:eastAsia="仿宋" w:hAnsi="仿宋" w:cs="仿宋"/>
          <w:sz w:val="32"/>
          <w:szCs w:val="32"/>
        </w:rPr>
      </w:pPr>
      <w:r>
        <w:rPr>
          <w:rFonts w:ascii="仿宋" w:eastAsia="仿宋" w:hAnsi="仿宋" w:cs="仿宋" w:hint="eastAsia"/>
          <w:b/>
          <w:bCs/>
          <w:sz w:val="32"/>
          <w:szCs w:val="32"/>
        </w:rPr>
        <w:t>（三）</w:t>
      </w:r>
      <w:r>
        <w:rPr>
          <w:rFonts w:ascii="仿宋" w:eastAsia="仿宋" w:hAnsi="仿宋" w:cs="仿宋" w:hint="eastAsia"/>
          <w:b/>
          <w:sz w:val="32"/>
          <w:szCs w:val="32"/>
        </w:rPr>
        <w:t>综合管理工作</w:t>
      </w:r>
    </w:p>
    <w:p w:rsidR="00CF2B20" w:rsidRDefault="00B24772">
      <w:pPr>
        <w:spacing w:line="580" w:lineRule="exact"/>
        <w:ind w:firstLineChars="200" w:firstLine="640"/>
        <w:rPr>
          <w:rFonts w:ascii="仿宋" w:eastAsia="仿宋" w:hAnsi="仿宋" w:cs="仿宋"/>
          <w:color w:val="000000"/>
          <w:sz w:val="32"/>
          <w:szCs w:val="32"/>
          <w:shd w:val="clear" w:color="auto" w:fill="FFFFFF"/>
        </w:rPr>
      </w:pPr>
      <w:r>
        <w:rPr>
          <w:rFonts w:ascii="仿宋" w:eastAsia="仿宋" w:hAnsi="仿宋" w:cs="仿宋" w:hint="eastAsia"/>
          <w:bCs/>
          <w:color w:val="000000"/>
          <w:sz w:val="32"/>
          <w:szCs w:val="32"/>
        </w:rPr>
        <w:t>1、强化</w:t>
      </w:r>
      <w:r>
        <w:rPr>
          <w:rFonts w:ascii="仿宋" w:eastAsia="仿宋" w:hAnsi="仿宋" w:cs="仿宋" w:hint="eastAsia"/>
          <w:bCs/>
          <w:sz w:val="32"/>
          <w:szCs w:val="32"/>
        </w:rPr>
        <w:t>宣传。</w:t>
      </w:r>
      <w:r>
        <w:rPr>
          <w:rFonts w:ascii="仿宋" w:eastAsia="仿宋" w:hAnsi="仿宋" w:cs="仿宋" w:hint="eastAsia"/>
          <w:color w:val="000000"/>
          <w:sz w:val="32"/>
          <w:szCs w:val="32"/>
        </w:rPr>
        <w:t>按照</w:t>
      </w:r>
      <w:r>
        <w:rPr>
          <w:rFonts w:ascii="仿宋" w:eastAsia="仿宋" w:hAnsi="仿宋" w:cs="仿宋" w:hint="eastAsia"/>
          <w:kern w:val="0"/>
          <w:sz w:val="32"/>
          <w:szCs w:val="32"/>
        </w:rPr>
        <w:t>宣传月工作要求</w:t>
      </w:r>
      <w:r>
        <w:rPr>
          <w:rFonts w:ascii="仿宋" w:eastAsia="仿宋" w:hAnsi="仿宋" w:cs="仿宋" w:hint="eastAsia"/>
          <w:color w:val="000000"/>
          <w:sz w:val="32"/>
          <w:szCs w:val="32"/>
        </w:rPr>
        <w:t>，</w:t>
      </w:r>
      <w:r>
        <w:rPr>
          <w:rFonts w:ascii="仿宋" w:eastAsia="仿宋" w:hAnsi="仿宋" w:cs="仿宋" w:hint="eastAsia"/>
          <w:sz w:val="32"/>
          <w:szCs w:val="32"/>
        </w:rPr>
        <w:t>联合盟联通分公司</w:t>
      </w:r>
      <w:r>
        <w:rPr>
          <w:rFonts w:ascii="仿宋" w:eastAsia="仿宋" w:hAnsi="仿宋" w:cs="仿宋" w:hint="eastAsia"/>
          <w:color w:val="000000"/>
          <w:sz w:val="32"/>
          <w:szCs w:val="32"/>
        </w:rPr>
        <w:t>在第56个世界电信日组织开展5·17世界电信日主题宣传活动。9月宣传月期间，深入各设台单位宣传无线电管理法律法规，与机场、通信运营商、</w:t>
      </w:r>
      <w:proofErr w:type="gramStart"/>
      <w:r>
        <w:rPr>
          <w:rFonts w:ascii="仿宋" w:eastAsia="仿宋" w:hAnsi="仿宋" w:cs="仿宋" w:hint="eastAsia"/>
          <w:color w:val="000000"/>
          <w:sz w:val="32"/>
          <w:szCs w:val="32"/>
        </w:rPr>
        <w:t>融媒体</w:t>
      </w:r>
      <w:proofErr w:type="gramEnd"/>
      <w:r>
        <w:rPr>
          <w:rFonts w:ascii="仿宋" w:eastAsia="仿宋" w:hAnsi="仿宋" w:cs="仿宋" w:hint="eastAsia"/>
          <w:color w:val="000000"/>
          <w:sz w:val="32"/>
          <w:szCs w:val="32"/>
        </w:rPr>
        <w:t>中心等部门建立联合宣传机制，在人流密集区域播放宣传视频和宣传标语。利用东乌珠穆沁旗宣传平台</w:t>
      </w:r>
      <w:proofErr w:type="gramStart"/>
      <w:r>
        <w:rPr>
          <w:rFonts w:ascii="仿宋" w:eastAsia="仿宋" w:hAnsi="仿宋" w:cs="仿宋" w:hint="eastAsia"/>
          <w:color w:val="000000"/>
          <w:sz w:val="32"/>
          <w:szCs w:val="32"/>
        </w:rPr>
        <w:t>微信公众号</w:t>
      </w:r>
      <w:proofErr w:type="gramEnd"/>
      <w:r>
        <w:rPr>
          <w:rFonts w:ascii="仿宋" w:eastAsia="仿宋" w:hAnsi="仿宋" w:cs="仿宋" w:hint="eastAsia"/>
          <w:color w:val="000000"/>
          <w:sz w:val="32"/>
          <w:szCs w:val="32"/>
        </w:rPr>
        <w:t>宣传“电波无形、管理有道”视频，联合开展“‘无限’电波无处不在，无线电赋能千行百业”主题宣传活动。在《中国无线电》杂志发表工作信息2条。</w:t>
      </w:r>
    </w:p>
    <w:p w:rsidR="00CF2B20" w:rsidRDefault="00B24772">
      <w:pPr>
        <w:pStyle w:val="a0"/>
        <w:spacing w:line="580" w:lineRule="exact"/>
        <w:ind w:firstLineChars="200" w:firstLine="640"/>
        <w:jc w:val="left"/>
        <w:rPr>
          <w:rFonts w:ascii="仿宋" w:eastAsia="仿宋" w:hAnsi="仿宋" w:cs="仿宋"/>
          <w:sz w:val="32"/>
          <w:szCs w:val="32"/>
        </w:rPr>
      </w:pPr>
      <w:r>
        <w:rPr>
          <w:rFonts w:ascii="仿宋" w:eastAsia="仿宋" w:hAnsi="仿宋" w:cs="仿宋" w:hint="eastAsia"/>
          <w:bCs/>
          <w:sz w:val="32"/>
          <w:szCs w:val="32"/>
        </w:rPr>
        <w:t>2、强化综合管理。</w:t>
      </w:r>
      <w:r>
        <w:rPr>
          <w:rFonts w:ascii="仿宋" w:eastAsia="仿宋" w:hAnsi="仿宋" w:cs="仿宋" w:hint="eastAsia"/>
          <w:sz w:val="32"/>
          <w:szCs w:val="32"/>
        </w:rPr>
        <w:t>严格履行“三重一大”议事程序，坚持集体决策、科学决策，并及时向上级请示报告。严格执行财务、固定资产管理制度，科学编制预算，加强</w:t>
      </w:r>
      <w:proofErr w:type="gramStart"/>
      <w:r>
        <w:rPr>
          <w:rFonts w:ascii="仿宋" w:eastAsia="仿宋" w:hAnsi="仿宋" w:cs="仿宋" w:hint="eastAsia"/>
          <w:sz w:val="32"/>
          <w:szCs w:val="32"/>
        </w:rPr>
        <w:t>频占费</w:t>
      </w:r>
      <w:proofErr w:type="gramEnd"/>
      <w:r>
        <w:rPr>
          <w:rFonts w:ascii="仿宋" w:eastAsia="仿宋" w:hAnsi="仿宋" w:cs="仿宋" w:hint="eastAsia"/>
          <w:sz w:val="32"/>
          <w:szCs w:val="32"/>
        </w:rPr>
        <w:t>转移支付资金使用管理，建立健全</w:t>
      </w:r>
      <w:proofErr w:type="gramStart"/>
      <w:r>
        <w:rPr>
          <w:rFonts w:ascii="仿宋" w:eastAsia="仿宋" w:hAnsi="仿宋" w:cs="仿宋" w:hint="eastAsia"/>
          <w:sz w:val="32"/>
          <w:szCs w:val="32"/>
        </w:rPr>
        <w:t>资产台</w:t>
      </w:r>
      <w:proofErr w:type="gramEnd"/>
      <w:r w:rsidR="001C4C3B">
        <w:rPr>
          <w:rFonts w:ascii="仿宋" w:eastAsia="仿宋" w:hAnsi="仿宋" w:cs="仿宋" w:hint="eastAsia"/>
          <w:sz w:val="32"/>
          <w:szCs w:val="32"/>
        </w:rPr>
        <w:t>账</w:t>
      </w:r>
      <w:r>
        <w:rPr>
          <w:rFonts w:ascii="仿宋" w:eastAsia="仿宋" w:hAnsi="仿宋" w:cs="仿宋" w:hint="eastAsia"/>
          <w:sz w:val="32"/>
          <w:szCs w:val="32"/>
        </w:rPr>
        <w:t>，规范财务和固定资产管理工作。指定专人负责安全保密工作，加强保密宣传教育，强化对涉密人员、国家秘密载体、信息系统和信息设备管理。完成对办公楼窗户、办公电脑的更新更换，营造良好办公环境。</w:t>
      </w:r>
    </w:p>
    <w:p w:rsidR="00CF2B20" w:rsidRDefault="00B24772">
      <w:pPr>
        <w:pStyle w:val="2"/>
        <w:keepNext w:val="0"/>
        <w:keepLines w:val="0"/>
        <w:widowControl/>
        <w:spacing w:before="299" w:after="299" w:line="240" w:lineRule="auto"/>
        <w:jc w:val="center"/>
        <w:rPr>
          <w:rFonts w:ascii="黑体" w:hAnsi="黑体" w:cs="黑体"/>
          <w:kern w:val="0"/>
          <w:sz w:val="36"/>
          <w:szCs w:val="36"/>
        </w:rPr>
      </w:pPr>
      <w:r>
        <w:rPr>
          <w:rFonts w:ascii="黑体" w:hAnsi="黑体" w:cs="黑体" w:hint="eastAsia"/>
          <w:kern w:val="0"/>
          <w:sz w:val="36"/>
          <w:szCs w:val="36"/>
        </w:rPr>
        <w:t>第二部分  单位决算情况说明</w:t>
      </w: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32"/>
          <w:szCs w:val="32"/>
        </w:rPr>
        <w:t xml:space="preserve"> 一、收入支出决算总体情况说明</w:t>
      </w:r>
    </w:p>
    <w:p w:rsidR="00CF2B20" w:rsidRDefault="00B24772">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lastRenderedPageBreak/>
        <w:t xml:space="preserve">    </w:t>
      </w:r>
      <w:r>
        <w:rPr>
          <w:rFonts w:ascii="仿宋" w:eastAsia="仿宋" w:hAnsi="仿宋" w:cs="仿宋" w:hint="eastAsia"/>
          <w:kern w:val="0"/>
          <w:sz w:val="32"/>
          <w:szCs w:val="32"/>
        </w:rPr>
        <w:t>内蒙古自治区工业和信息化厅驻锡林郭勒盟无线电管理处 2024年度收入、支出决算总计</w:t>
      </w:r>
      <w:r>
        <w:rPr>
          <w:rFonts w:ascii="仿宋" w:eastAsia="仿宋" w:hAnsi="仿宋" w:cs="仿宋" w:hint="eastAsia"/>
          <w:kern w:val="0"/>
          <w:sz w:val="32"/>
          <w:szCs w:val="32"/>
          <w:u w:val="single"/>
        </w:rPr>
        <w:t xml:space="preserve"> 236.26</w:t>
      </w:r>
      <w:r>
        <w:rPr>
          <w:rFonts w:ascii="仿宋" w:eastAsia="仿宋" w:hAnsi="仿宋" w:cs="仿宋" w:hint="eastAsia"/>
          <w:kern w:val="0"/>
          <w:sz w:val="32"/>
          <w:szCs w:val="32"/>
        </w:rPr>
        <w:t>万元。与年初预算相比，收、支总计各减少</w:t>
      </w:r>
      <w:r>
        <w:rPr>
          <w:rFonts w:ascii="仿宋" w:eastAsia="仿宋" w:hAnsi="仿宋" w:cs="仿宋" w:hint="eastAsia"/>
          <w:kern w:val="0"/>
          <w:sz w:val="32"/>
          <w:szCs w:val="32"/>
          <w:u w:val="single"/>
        </w:rPr>
        <w:t>43.32</w:t>
      </w:r>
      <w:r>
        <w:rPr>
          <w:rFonts w:ascii="仿宋" w:eastAsia="仿宋" w:hAnsi="仿宋" w:cs="仿宋" w:hint="eastAsia"/>
          <w:kern w:val="0"/>
          <w:sz w:val="32"/>
          <w:szCs w:val="32"/>
        </w:rPr>
        <w:t>万元，下降</w:t>
      </w:r>
      <w:r>
        <w:rPr>
          <w:rFonts w:ascii="仿宋" w:eastAsia="仿宋" w:hAnsi="仿宋" w:cs="仿宋" w:hint="eastAsia"/>
          <w:kern w:val="0"/>
          <w:sz w:val="32"/>
          <w:szCs w:val="32"/>
          <w:u w:val="single"/>
        </w:rPr>
        <w:t>15.5</w:t>
      </w:r>
      <w:r>
        <w:rPr>
          <w:rFonts w:ascii="仿宋" w:eastAsia="仿宋" w:hAnsi="仿宋" w:cs="仿宋" w:hint="eastAsia"/>
          <w:kern w:val="0"/>
          <w:sz w:val="32"/>
          <w:szCs w:val="32"/>
        </w:rPr>
        <w:t>%，变动原因：根据相关文件，厉行节约，缩减经费。与上年决算相比，收、支总计各增加</w:t>
      </w:r>
      <w:r>
        <w:rPr>
          <w:rFonts w:ascii="仿宋" w:eastAsia="仿宋" w:hAnsi="仿宋" w:cs="仿宋" w:hint="eastAsia"/>
          <w:kern w:val="0"/>
          <w:sz w:val="32"/>
          <w:szCs w:val="32"/>
          <w:u w:val="single"/>
        </w:rPr>
        <w:t xml:space="preserve"> 31.77</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15.54</w:t>
      </w:r>
      <w:r>
        <w:rPr>
          <w:rFonts w:ascii="仿宋" w:eastAsia="仿宋" w:hAnsi="仿宋" w:cs="仿宋" w:hint="eastAsia"/>
          <w:kern w:val="0"/>
          <w:sz w:val="32"/>
          <w:szCs w:val="32"/>
        </w:rPr>
        <w:t>%。其中：</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（一）收入决算总计</w:t>
      </w:r>
      <w:r>
        <w:rPr>
          <w:rFonts w:ascii="仿宋" w:eastAsia="仿宋" w:hAnsi="仿宋" w:cs="仿宋" w:hint="eastAsia"/>
          <w:b/>
          <w:bCs/>
          <w:kern w:val="0"/>
          <w:sz w:val="32"/>
          <w:szCs w:val="32"/>
          <w:u w:val="single"/>
        </w:rPr>
        <w:t>236.26</w:t>
      </w:r>
      <w:r>
        <w:rPr>
          <w:rFonts w:ascii="仿宋" w:eastAsia="仿宋" w:hAnsi="仿宋" w:cs="仿宋" w:hint="eastAsia"/>
          <w:b/>
          <w:bCs/>
          <w:kern w:val="0"/>
          <w:sz w:val="32"/>
          <w:szCs w:val="32"/>
        </w:rPr>
        <w:t>万元。包括：</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1.本年收入决算合计</w:t>
      </w:r>
      <w:r>
        <w:rPr>
          <w:rFonts w:ascii="仿宋" w:eastAsia="仿宋" w:hAnsi="仿宋" w:cs="仿宋" w:hint="eastAsia"/>
          <w:kern w:val="0"/>
          <w:sz w:val="32"/>
          <w:szCs w:val="32"/>
          <w:u w:val="single"/>
        </w:rPr>
        <w:t xml:space="preserve"> 236.26</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31.77</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15.54</w:t>
      </w:r>
      <w:r>
        <w:rPr>
          <w:rFonts w:ascii="仿宋" w:eastAsia="仿宋" w:hAnsi="仿宋" w:cs="仿宋" w:hint="eastAsia"/>
          <w:kern w:val="0"/>
          <w:sz w:val="32"/>
          <w:szCs w:val="32"/>
        </w:rPr>
        <w:t>%，变动原因：1.人员经费及五险</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金增加；2.根据实际工作需要，项目经费增加。</w:t>
      </w:r>
    </w:p>
    <w:p w:rsidR="00CF2B20" w:rsidRDefault="00B24772">
      <w:pPr>
        <w:widowControl/>
        <w:spacing w:beforeAutospacing="1" w:afterAutospacing="1" w:line="560" w:lineRule="atLeast"/>
        <w:ind w:firstLineChars="200" w:firstLine="640"/>
        <w:rPr>
          <w:rFonts w:ascii="仿宋" w:eastAsia="仿宋" w:hAnsi="仿宋" w:cs="仿宋"/>
          <w:color w:val="000000"/>
          <w:kern w:val="0"/>
          <w:sz w:val="32"/>
          <w:szCs w:val="32"/>
        </w:rPr>
      </w:pPr>
      <w:r>
        <w:rPr>
          <w:rFonts w:ascii="仿宋" w:eastAsia="仿宋" w:hAnsi="仿宋" w:cs="仿宋" w:hint="eastAsia"/>
          <w:kern w:val="0"/>
          <w:sz w:val="32"/>
          <w:szCs w:val="32"/>
        </w:rPr>
        <w:t>2.使用非财政拨款结余和专用结余</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0 </w:t>
      </w:r>
      <w:r>
        <w:rPr>
          <w:rFonts w:ascii="仿宋" w:eastAsia="仿宋" w:hAnsi="仿宋" w:cs="仿宋" w:hint="eastAsia"/>
          <w:kern w:val="0"/>
          <w:sz w:val="32"/>
          <w:szCs w:val="32"/>
        </w:rPr>
        <w:t>%，变动原因：</w:t>
      </w:r>
      <w:r>
        <w:rPr>
          <w:rFonts w:ascii="仿宋" w:eastAsia="仿宋" w:hAnsi="仿宋" w:cs="仿宋" w:hint="eastAsia"/>
          <w:color w:val="000000"/>
          <w:kern w:val="0"/>
          <w:sz w:val="32"/>
          <w:szCs w:val="32"/>
        </w:rPr>
        <w:t>不存在此项内容。</w:t>
      </w:r>
    </w:p>
    <w:p w:rsidR="00CF2B20" w:rsidRDefault="00B24772">
      <w:pPr>
        <w:widowControl/>
        <w:spacing w:beforeAutospacing="1" w:afterAutospacing="1" w:line="560" w:lineRule="atLeast"/>
        <w:ind w:firstLineChars="100" w:firstLine="320"/>
        <w:rPr>
          <w:rFonts w:ascii="仿宋" w:eastAsia="仿宋" w:hAnsi="仿宋" w:cs="仿宋"/>
          <w:color w:val="000000"/>
          <w:kern w:val="0"/>
          <w:sz w:val="32"/>
          <w:szCs w:val="32"/>
        </w:rPr>
      </w:pPr>
      <w:r>
        <w:rPr>
          <w:rFonts w:ascii="仿宋" w:eastAsia="仿宋" w:hAnsi="仿宋" w:cs="仿宋" w:hint="eastAsia"/>
          <w:kern w:val="0"/>
          <w:sz w:val="32"/>
          <w:szCs w:val="32"/>
        </w:rPr>
        <w:t xml:space="preserve"> 3.年初结转和结余 </w:t>
      </w:r>
      <w:r>
        <w:rPr>
          <w:rFonts w:ascii="仿宋" w:eastAsia="仿宋" w:hAnsi="仿宋" w:cs="仿宋" w:hint="eastAsia"/>
          <w:kern w:val="0"/>
          <w:sz w:val="32"/>
          <w:szCs w:val="32"/>
          <w:u w:val="single"/>
        </w:rPr>
        <w:t>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0 </w:t>
      </w:r>
      <w:r>
        <w:rPr>
          <w:rFonts w:ascii="仿宋" w:eastAsia="仿宋" w:hAnsi="仿宋" w:cs="仿宋" w:hint="eastAsia"/>
          <w:kern w:val="0"/>
          <w:sz w:val="32"/>
          <w:szCs w:val="32"/>
        </w:rPr>
        <w:t>%，变动原因：</w:t>
      </w:r>
      <w:r>
        <w:rPr>
          <w:rFonts w:ascii="仿宋" w:eastAsia="仿宋" w:hAnsi="仿宋" w:cs="仿宋" w:hint="eastAsia"/>
          <w:color w:val="000000"/>
          <w:kern w:val="0"/>
          <w:sz w:val="32"/>
          <w:szCs w:val="32"/>
        </w:rPr>
        <w:t>不存在此项内容。</w:t>
      </w:r>
    </w:p>
    <w:p w:rsidR="00CF2B20" w:rsidRDefault="00B24772">
      <w:pPr>
        <w:widowControl/>
        <w:spacing w:before="240" w:after="240"/>
        <w:ind w:firstLine="499"/>
        <w:jc w:val="left"/>
      </w:pPr>
      <w:r>
        <w:rPr>
          <w:rFonts w:ascii="仿宋" w:eastAsia="仿宋" w:hAnsi="仿宋" w:cs="仿宋" w:hint="eastAsia"/>
          <w:b/>
          <w:bCs/>
          <w:kern w:val="0"/>
          <w:sz w:val="32"/>
          <w:szCs w:val="32"/>
        </w:rPr>
        <w:t>（二）支出决算总计</w:t>
      </w:r>
      <w:r>
        <w:rPr>
          <w:rFonts w:ascii="仿宋" w:eastAsia="仿宋" w:hAnsi="仿宋" w:cs="仿宋" w:hint="eastAsia"/>
          <w:b/>
          <w:bCs/>
          <w:kern w:val="0"/>
          <w:sz w:val="32"/>
          <w:szCs w:val="32"/>
          <w:u w:val="single"/>
        </w:rPr>
        <w:t xml:space="preserve"> 236.26</w:t>
      </w:r>
      <w:r>
        <w:rPr>
          <w:rFonts w:ascii="仿宋" w:eastAsia="仿宋" w:hAnsi="仿宋" w:cs="仿宋" w:hint="eastAsia"/>
          <w:b/>
          <w:bCs/>
          <w:kern w:val="0"/>
          <w:sz w:val="32"/>
          <w:szCs w:val="32"/>
        </w:rPr>
        <w:t>万元。包括：</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1.本年支出决算合计</w:t>
      </w:r>
      <w:r>
        <w:rPr>
          <w:rFonts w:ascii="仿宋" w:eastAsia="仿宋" w:hAnsi="仿宋" w:cs="仿宋" w:hint="eastAsia"/>
          <w:kern w:val="0"/>
          <w:sz w:val="32"/>
          <w:szCs w:val="32"/>
          <w:u w:val="single"/>
        </w:rPr>
        <w:t xml:space="preserve"> 236.26</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31.77</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15.54</w:t>
      </w:r>
      <w:r>
        <w:rPr>
          <w:rFonts w:ascii="仿宋" w:eastAsia="仿宋" w:hAnsi="仿宋" w:cs="仿宋" w:hint="eastAsia"/>
          <w:kern w:val="0"/>
          <w:sz w:val="32"/>
          <w:szCs w:val="32"/>
        </w:rPr>
        <w:t>%，变动原因：1.人员经费及五险</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金增加；2.根据实际工作需要，项目经费增加。</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2.结余分配</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万元。结余分配事项：</w:t>
      </w:r>
      <w:r>
        <w:rPr>
          <w:rFonts w:ascii="仿宋" w:eastAsia="仿宋" w:hAnsi="仿宋" w:cs="仿宋" w:hint="eastAsia"/>
          <w:color w:val="000000"/>
          <w:kern w:val="0"/>
          <w:sz w:val="32"/>
          <w:szCs w:val="32"/>
        </w:rPr>
        <w:t>不存在此项内容</w:t>
      </w:r>
      <w:r>
        <w:rPr>
          <w:rFonts w:ascii="仿宋" w:eastAsia="仿宋" w:hAnsi="仿宋" w:cs="仿宋" w:hint="eastAsia"/>
          <w:kern w:val="0"/>
          <w:sz w:val="32"/>
          <w:szCs w:val="32"/>
        </w:rPr>
        <w:t>。与上年决算相比，增加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0 </w:t>
      </w:r>
      <w:r>
        <w:rPr>
          <w:rFonts w:ascii="仿宋" w:eastAsia="仿宋" w:hAnsi="仿宋" w:cs="仿宋" w:hint="eastAsia"/>
          <w:kern w:val="0"/>
          <w:sz w:val="32"/>
          <w:szCs w:val="32"/>
        </w:rPr>
        <w:t>%，变动原因：</w:t>
      </w:r>
      <w:r>
        <w:rPr>
          <w:rFonts w:ascii="仿宋" w:eastAsia="仿宋" w:hAnsi="仿宋" w:cs="仿宋" w:hint="eastAsia"/>
          <w:color w:val="000000"/>
          <w:kern w:val="0"/>
          <w:sz w:val="32"/>
          <w:szCs w:val="32"/>
        </w:rPr>
        <w:t>不存在此项内容</w:t>
      </w:r>
      <w:r>
        <w:rPr>
          <w:rFonts w:ascii="仿宋" w:eastAsia="仿宋" w:hAnsi="仿宋" w:cs="仿宋" w:hint="eastAsia"/>
          <w:kern w:val="0"/>
          <w:sz w:val="32"/>
          <w:szCs w:val="32"/>
        </w:rPr>
        <w:t>。</w:t>
      </w:r>
    </w:p>
    <w:p w:rsidR="00CF2B20" w:rsidRDefault="00B24772">
      <w:pPr>
        <w:widowControl/>
        <w:spacing w:before="240" w:after="240"/>
        <w:ind w:firstLine="498"/>
      </w:pPr>
      <w:r>
        <w:rPr>
          <w:rFonts w:ascii="仿宋" w:eastAsia="仿宋" w:hAnsi="仿宋" w:cs="仿宋" w:hint="eastAsia"/>
          <w:kern w:val="0"/>
          <w:sz w:val="32"/>
          <w:szCs w:val="32"/>
        </w:rPr>
        <w:lastRenderedPageBreak/>
        <w:t>3.年末结转和结余</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万元。结转和结余事项：</w:t>
      </w:r>
      <w:r>
        <w:rPr>
          <w:rFonts w:ascii="仿宋" w:eastAsia="仿宋" w:hAnsi="仿宋" w:cs="仿宋" w:hint="eastAsia"/>
          <w:color w:val="000000"/>
          <w:kern w:val="0"/>
          <w:sz w:val="32"/>
          <w:szCs w:val="32"/>
        </w:rPr>
        <w:t>不存在此项内容</w:t>
      </w:r>
      <w:r>
        <w:rPr>
          <w:rFonts w:ascii="仿宋" w:eastAsia="仿宋" w:hAnsi="仿宋" w:cs="仿宋" w:hint="eastAsia"/>
          <w:kern w:val="0"/>
          <w:sz w:val="32"/>
          <w:szCs w:val="32"/>
        </w:rPr>
        <w:t>。与上年决算相比，增加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 xml:space="preserve">万元，增长 </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%，变动原因：</w:t>
      </w:r>
      <w:r>
        <w:rPr>
          <w:rFonts w:ascii="仿宋" w:eastAsia="仿宋" w:hAnsi="仿宋" w:cs="仿宋" w:hint="eastAsia"/>
          <w:color w:val="000000"/>
          <w:kern w:val="0"/>
          <w:sz w:val="32"/>
          <w:szCs w:val="32"/>
        </w:rPr>
        <w:t>不存在此项内容</w:t>
      </w:r>
      <w:r>
        <w:rPr>
          <w:rFonts w:ascii="仿宋" w:eastAsia="仿宋" w:hAnsi="仿宋" w:cs="仿宋" w:hint="eastAsia"/>
          <w:kern w:val="0"/>
          <w:sz w:val="32"/>
          <w:szCs w:val="32"/>
        </w:rPr>
        <w:t>。</w:t>
      </w: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二、收入决算情况说明</w:t>
      </w:r>
    </w:p>
    <w:p w:rsidR="00CF2B20" w:rsidRDefault="00B24772">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内蒙古自治区工业和信息化厅驻锡林郭勒盟无线电管理处 2024年度本年收入决算合计</w:t>
      </w:r>
      <w:r>
        <w:rPr>
          <w:rFonts w:ascii="仿宋" w:eastAsia="仿宋" w:hAnsi="仿宋" w:cs="仿宋" w:hint="eastAsia"/>
          <w:kern w:val="0"/>
          <w:sz w:val="32"/>
          <w:szCs w:val="32"/>
          <w:u w:val="single"/>
        </w:rPr>
        <w:t xml:space="preserve"> 236.26</w:t>
      </w:r>
      <w:r>
        <w:rPr>
          <w:rFonts w:ascii="仿宋" w:eastAsia="仿宋" w:hAnsi="仿宋" w:cs="仿宋" w:hint="eastAsia"/>
          <w:kern w:val="0"/>
          <w:sz w:val="32"/>
          <w:szCs w:val="32"/>
        </w:rPr>
        <w:t>万元，其中：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本年一般公共预算财政拨款收入</w:t>
      </w:r>
      <w:r>
        <w:rPr>
          <w:rFonts w:ascii="仿宋" w:eastAsia="仿宋" w:hAnsi="仿宋" w:cs="仿宋" w:hint="eastAsia"/>
          <w:kern w:val="0"/>
          <w:sz w:val="32"/>
          <w:szCs w:val="32"/>
          <w:u w:val="single"/>
        </w:rPr>
        <w:t>236.26</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100.00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本年政府性基金预算财政拨款收入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本年国有资本经营预算财政拨款收入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本年上级补助收入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本年事业收入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本年经营收入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本年附属单位上缴收入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本年其他收入</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color w:val="0E00FE"/>
          <w:kern w:val="0"/>
          <w:sz w:val="32"/>
          <w:szCs w:val="32"/>
        </w:rPr>
        <w:lastRenderedPageBreak/>
        <w:t xml:space="preserve">    </w:t>
      </w:r>
      <w:r>
        <w:rPr>
          <w:rFonts w:ascii="仿宋" w:eastAsia="仿宋" w:hAnsi="仿宋" w:cs="仿宋" w:hint="eastAsia"/>
          <w:noProof/>
          <w:kern w:val="0"/>
          <w:sz w:val="32"/>
          <w:szCs w:val="32"/>
        </w:rPr>
        <w:drawing>
          <wp:inline distT="0" distB="0" distL="114300" distR="114300">
            <wp:extent cx="5256530" cy="2988310"/>
            <wp:effectExtent l="5080" t="4445" r="1524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F2B20" w:rsidRDefault="00B24772">
      <w:pPr>
        <w:widowControl/>
        <w:spacing w:before="240" w:after="240"/>
        <w:jc w:val="center"/>
        <w:rPr>
          <w:rFonts w:ascii="仿宋" w:eastAsia="仿宋" w:hAnsi="仿宋" w:cs="仿宋"/>
          <w:kern w:val="0"/>
          <w:sz w:val="32"/>
          <w:szCs w:val="32"/>
        </w:rPr>
      </w:pPr>
      <w:r>
        <w:rPr>
          <w:rFonts w:ascii="仿宋" w:eastAsia="仿宋" w:hAnsi="仿宋" w:cs="仿宋" w:hint="eastAsia"/>
          <w:kern w:val="0"/>
          <w:sz w:val="32"/>
          <w:szCs w:val="32"/>
        </w:rPr>
        <w:t>图1.收入决算图</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三、支出决算情况说明</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内蒙古自治区工业和信息化厅驻锡林郭勒盟无线电管理处 2024年度本年支出决算合计</w:t>
      </w:r>
      <w:r>
        <w:rPr>
          <w:rFonts w:ascii="仿宋" w:eastAsia="仿宋" w:hAnsi="仿宋" w:cs="仿宋" w:hint="eastAsia"/>
          <w:kern w:val="0"/>
          <w:sz w:val="32"/>
          <w:szCs w:val="32"/>
          <w:u w:val="single"/>
        </w:rPr>
        <w:t xml:space="preserve"> 236.26</w:t>
      </w:r>
      <w:r>
        <w:rPr>
          <w:rFonts w:ascii="仿宋" w:eastAsia="仿宋" w:hAnsi="仿宋" w:cs="仿宋" w:hint="eastAsia"/>
          <w:kern w:val="0"/>
          <w:sz w:val="32"/>
          <w:szCs w:val="32"/>
        </w:rPr>
        <w:t>万元，其中：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本年基本支出</w:t>
      </w:r>
      <w:r>
        <w:rPr>
          <w:rFonts w:ascii="仿宋" w:eastAsia="仿宋" w:hAnsi="仿宋" w:cs="仿宋" w:hint="eastAsia"/>
          <w:kern w:val="0"/>
          <w:sz w:val="32"/>
          <w:szCs w:val="32"/>
          <w:u w:val="single"/>
        </w:rPr>
        <w:t>60.71</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25.7</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本年项目支出</w:t>
      </w:r>
      <w:r>
        <w:rPr>
          <w:rFonts w:ascii="仿宋" w:eastAsia="仿宋" w:hAnsi="仿宋" w:cs="仿宋" w:hint="eastAsia"/>
          <w:kern w:val="0"/>
          <w:sz w:val="32"/>
          <w:szCs w:val="32"/>
          <w:u w:val="single"/>
        </w:rPr>
        <w:t xml:space="preserve"> 175.55</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74.3</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本年上缴上级支出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本年经营支出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本年对附属单位补助支出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w:t>
      </w:r>
    </w:p>
    <w:p w:rsidR="00CF2B20" w:rsidRDefault="00B24772">
      <w:pPr>
        <w:widowControl/>
        <w:spacing w:before="240" w:after="240"/>
        <w:ind w:firstLineChars="200" w:firstLine="640"/>
        <w:rPr>
          <w:rFonts w:ascii="仿宋" w:eastAsia="仿宋" w:hAnsi="仿宋" w:cs="仿宋"/>
          <w:kern w:val="0"/>
          <w:sz w:val="32"/>
          <w:szCs w:val="32"/>
        </w:rPr>
      </w:pPr>
      <w:r>
        <w:rPr>
          <w:rFonts w:ascii="仿宋" w:eastAsia="仿宋" w:hAnsi="仿宋" w:cs="仿宋" w:hint="eastAsia"/>
          <w:color w:val="0E00FE"/>
          <w:kern w:val="0"/>
          <w:sz w:val="32"/>
          <w:szCs w:val="32"/>
        </w:rPr>
        <w:lastRenderedPageBreak/>
        <w:t> </w:t>
      </w:r>
      <w:r>
        <w:rPr>
          <w:rFonts w:ascii="仿宋" w:eastAsia="仿宋" w:hAnsi="仿宋" w:cs="仿宋" w:hint="eastAsia"/>
          <w:noProof/>
          <w:kern w:val="0"/>
          <w:sz w:val="32"/>
          <w:szCs w:val="32"/>
        </w:rPr>
        <w:drawing>
          <wp:inline distT="0" distB="0" distL="114300" distR="114300">
            <wp:extent cx="4585335" cy="3086735"/>
            <wp:effectExtent l="4445" t="4445" r="20320" b="139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F2B20" w:rsidRDefault="00B24772">
      <w:pPr>
        <w:widowControl/>
        <w:spacing w:before="240" w:after="240"/>
        <w:ind w:firstLineChars="1000" w:firstLine="3200"/>
        <w:rPr>
          <w:rFonts w:eastAsia="Times New Roman"/>
          <w:kern w:val="0"/>
          <w:sz w:val="24"/>
        </w:rPr>
      </w:pPr>
      <w:r>
        <w:rPr>
          <w:rFonts w:ascii="仿宋" w:eastAsia="仿宋" w:hAnsi="仿宋" w:cs="仿宋" w:hint="eastAsia"/>
          <w:kern w:val="0"/>
          <w:sz w:val="32"/>
          <w:szCs w:val="32"/>
        </w:rPr>
        <w:t>图2.支出决算图</w:t>
      </w: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四、财政拨款收入支出决算总体情况说明</w:t>
      </w:r>
    </w:p>
    <w:p w:rsidR="00CF2B20" w:rsidRDefault="00B24772">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内蒙古自治区工业和信息化厅驻锡林郭勒盟无线电管理处 2024年度财政拨款收入、支出决算总计</w:t>
      </w:r>
      <w:r>
        <w:rPr>
          <w:rFonts w:ascii="仿宋" w:eastAsia="仿宋" w:hAnsi="仿宋" w:cs="仿宋" w:hint="eastAsia"/>
          <w:kern w:val="0"/>
          <w:sz w:val="32"/>
          <w:szCs w:val="32"/>
          <w:u w:val="single"/>
        </w:rPr>
        <w:t>236.26</w:t>
      </w:r>
      <w:r>
        <w:rPr>
          <w:rFonts w:ascii="仿宋" w:eastAsia="仿宋" w:hAnsi="仿宋" w:cs="仿宋" w:hint="eastAsia"/>
          <w:kern w:val="0"/>
          <w:sz w:val="32"/>
          <w:szCs w:val="32"/>
        </w:rPr>
        <w:t>万元，与年初预算相比，收、支总计各减少</w:t>
      </w:r>
      <w:r>
        <w:rPr>
          <w:rFonts w:ascii="仿宋" w:eastAsia="仿宋" w:hAnsi="仿宋" w:cs="仿宋" w:hint="eastAsia"/>
          <w:kern w:val="0"/>
          <w:sz w:val="32"/>
          <w:szCs w:val="32"/>
          <w:u w:val="single"/>
        </w:rPr>
        <w:t>43.33</w:t>
      </w:r>
      <w:r>
        <w:rPr>
          <w:rFonts w:ascii="仿宋" w:eastAsia="仿宋" w:hAnsi="仿宋" w:cs="仿宋" w:hint="eastAsia"/>
          <w:kern w:val="0"/>
          <w:sz w:val="32"/>
          <w:szCs w:val="32"/>
        </w:rPr>
        <w:t>万元，下降</w:t>
      </w:r>
      <w:r>
        <w:rPr>
          <w:rFonts w:ascii="仿宋" w:eastAsia="仿宋" w:hAnsi="仿宋" w:cs="仿宋" w:hint="eastAsia"/>
          <w:kern w:val="0"/>
          <w:sz w:val="32"/>
          <w:szCs w:val="32"/>
          <w:u w:val="single"/>
        </w:rPr>
        <w:t>15.5</w:t>
      </w:r>
      <w:r>
        <w:rPr>
          <w:rFonts w:ascii="仿宋" w:eastAsia="仿宋" w:hAnsi="仿宋" w:cs="仿宋" w:hint="eastAsia"/>
          <w:kern w:val="0"/>
          <w:sz w:val="32"/>
          <w:szCs w:val="32"/>
        </w:rPr>
        <w:t>%，变动原因：根据相关文件，厉行节约，缩减经费；与上年决算相比，收、支总计各增加</w:t>
      </w:r>
      <w:r>
        <w:rPr>
          <w:rFonts w:ascii="仿宋" w:eastAsia="仿宋" w:hAnsi="仿宋" w:cs="仿宋" w:hint="eastAsia"/>
          <w:kern w:val="0"/>
          <w:sz w:val="32"/>
          <w:szCs w:val="32"/>
          <w:u w:val="single"/>
        </w:rPr>
        <w:t xml:space="preserve"> 31.77</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15.54</w:t>
      </w:r>
      <w:r>
        <w:rPr>
          <w:rFonts w:ascii="仿宋" w:eastAsia="仿宋" w:hAnsi="仿宋" w:cs="仿宋" w:hint="eastAsia"/>
          <w:kern w:val="0"/>
          <w:sz w:val="32"/>
          <w:szCs w:val="32"/>
        </w:rPr>
        <w:t>%，变动原因：1.人员经费及五险</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金增加；2.根据实际工作需要，项目经费增加。</w:t>
      </w:r>
    </w:p>
    <w:p w:rsidR="00CF2B20" w:rsidRDefault="00B24772">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五、一般公共预算财政拨款支出决算情况说明</w:t>
      </w:r>
    </w:p>
    <w:p w:rsidR="00CF2B20" w:rsidRDefault="00B24772">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内蒙古自治区工业和信息化厅驻锡林郭勒盟无线电管理处 2024年度一般公共预算财政拨款支出决算</w:t>
      </w:r>
      <w:r>
        <w:rPr>
          <w:rFonts w:ascii="仿宋" w:eastAsia="仿宋" w:hAnsi="仿宋" w:cs="仿宋" w:hint="eastAsia"/>
          <w:kern w:val="0"/>
          <w:sz w:val="32"/>
          <w:szCs w:val="32"/>
          <w:u w:val="single"/>
        </w:rPr>
        <w:t xml:space="preserve"> 236.26</w:t>
      </w:r>
      <w:r>
        <w:rPr>
          <w:rFonts w:ascii="仿宋" w:eastAsia="仿宋" w:hAnsi="仿宋" w:cs="仿宋" w:hint="eastAsia"/>
          <w:kern w:val="0"/>
          <w:sz w:val="32"/>
          <w:szCs w:val="32"/>
        </w:rPr>
        <w:t>万元。与年初预算</w:t>
      </w:r>
      <w:r>
        <w:rPr>
          <w:rFonts w:ascii="仿宋" w:eastAsia="仿宋" w:hAnsi="仿宋" w:cs="仿宋" w:hint="eastAsia"/>
          <w:kern w:val="0"/>
          <w:sz w:val="32"/>
          <w:szCs w:val="32"/>
          <w:u w:val="single"/>
        </w:rPr>
        <w:t>279.59</w:t>
      </w:r>
      <w:r>
        <w:rPr>
          <w:rFonts w:ascii="仿宋" w:eastAsia="仿宋" w:hAnsi="仿宋" w:cs="仿宋" w:hint="eastAsia"/>
          <w:kern w:val="0"/>
          <w:sz w:val="32"/>
          <w:szCs w:val="32"/>
        </w:rPr>
        <w:t>万元相比，完成年初预算的</w:t>
      </w:r>
      <w:r>
        <w:rPr>
          <w:rFonts w:ascii="仿宋" w:eastAsia="仿宋" w:hAnsi="仿宋" w:cs="仿宋" w:hint="eastAsia"/>
          <w:kern w:val="0"/>
          <w:sz w:val="32"/>
          <w:szCs w:val="32"/>
          <w:u w:val="single"/>
        </w:rPr>
        <w:t xml:space="preserve"> 84.5</w:t>
      </w:r>
      <w:r>
        <w:rPr>
          <w:rFonts w:ascii="仿宋" w:eastAsia="仿宋" w:hAnsi="仿宋" w:cs="仿宋" w:hint="eastAsia"/>
          <w:kern w:val="0"/>
          <w:sz w:val="32"/>
          <w:szCs w:val="32"/>
        </w:rPr>
        <w:t>%。其中：</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lastRenderedPageBreak/>
        <w:t>    （一）社会保障和就业支出（类）</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kern w:val="0"/>
          <w:sz w:val="32"/>
          <w:szCs w:val="32"/>
        </w:rPr>
        <w:t>    社会保障和就业支出类决算数为</w:t>
      </w:r>
      <w:r>
        <w:rPr>
          <w:rFonts w:ascii="仿宋" w:eastAsia="仿宋" w:hAnsi="仿宋" w:cs="仿宋" w:hint="eastAsia"/>
          <w:kern w:val="0"/>
          <w:sz w:val="32"/>
          <w:szCs w:val="32"/>
          <w:u w:val="single"/>
        </w:rPr>
        <w:t xml:space="preserve"> 6.51</w:t>
      </w:r>
      <w:r>
        <w:rPr>
          <w:rFonts w:ascii="仿宋" w:eastAsia="仿宋" w:hAnsi="仿宋" w:cs="仿宋" w:hint="eastAsia"/>
          <w:kern w:val="0"/>
          <w:sz w:val="32"/>
          <w:szCs w:val="32"/>
        </w:rPr>
        <w:t>万元，与年初预算相比减少</w:t>
      </w:r>
      <w:r>
        <w:rPr>
          <w:rFonts w:ascii="仿宋" w:eastAsia="仿宋" w:hAnsi="仿宋" w:cs="仿宋" w:hint="eastAsia"/>
          <w:kern w:val="0"/>
          <w:sz w:val="32"/>
          <w:szCs w:val="32"/>
          <w:u w:val="single"/>
        </w:rPr>
        <w:t>0</w:t>
      </w:r>
      <w:r>
        <w:rPr>
          <w:rFonts w:ascii="仿宋" w:eastAsia="仿宋" w:hAnsi="仿宋" w:cs="仿宋" w:hint="eastAsia"/>
          <w:kern w:val="0"/>
          <w:sz w:val="32"/>
          <w:szCs w:val="32"/>
        </w:rPr>
        <w:t>万元。其中：</w:t>
      </w:r>
    </w:p>
    <w:p w:rsidR="00CF2B20" w:rsidRDefault="00B24772">
      <w:pPr>
        <w:widowControl/>
        <w:numPr>
          <w:ilvl w:val="0"/>
          <w:numId w:val="1"/>
        </w:numPr>
        <w:spacing w:before="240" w:after="240"/>
        <w:ind w:left="17" w:firstLineChars="150" w:firstLine="480"/>
        <w:jc w:val="left"/>
        <w:rPr>
          <w:rFonts w:ascii="仿宋" w:eastAsia="仿宋" w:hAnsi="仿宋" w:cs="仿宋"/>
          <w:kern w:val="0"/>
          <w:sz w:val="32"/>
          <w:szCs w:val="32"/>
        </w:rPr>
      </w:pPr>
      <w:r>
        <w:rPr>
          <w:rFonts w:ascii="仿宋" w:eastAsia="仿宋" w:hAnsi="仿宋" w:cs="仿宋" w:hint="eastAsia"/>
          <w:kern w:val="0"/>
          <w:sz w:val="32"/>
          <w:szCs w:val="32"/>
        </w:rPr>
        <w:t>行政事业单位养老支出（款）行政单位离退休（项）。年初预算</w:t>
      </w:r>
      <w:r>
        <w:rPr>
          <w:rFonts w:ascii="仿宋" w:eastAsia="仿宋" w:hAnsi="仿宋" w:cs="仿宋" w:hint="eastAsia"/>
          <w:kern w:val="0"/>
          <w:sz w:val="32"/>
          <w:szCs w:val="32"/>
          <w:u w:val="single"/>
        </w:rPr>
        <w:t>1.07</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1.07</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100</w:t>
      </w:r>
      <w:r>
        <w:rPr>
          <w:rFonts w:ascii="仿宋" w:eastAsia="仿宋" w:hAnsi="仿宋" w:cs="仿宋" w:hint="eastAsia"/>
          <w:kern w:val="0"/>
          <w:sz w:val="32"/>
          <w:szCs w:val="32"/>
        </w:rPr>
        <w:t>%。</w:t>
      </w:r>
    </w:p>
    <w:p w:rsidR="00CF2B20" w:rsidRDefault="00B24772">
      <w:pPr>
        <w:widowControl/>
        <w:spacing w:before="240" w:after="240"/>
        <w:ind w:left="17" w:firstLineChars="150" w:firstLine="480"/>
        <w:jc w:val="left"/>
        <w:rPr>
          <w:rFonts w:ascii="仿宋" w:eastAsia="仿宋" w:hAnsi="仿宋" w:cs="仿宋"/>
          <w:kern w:val="0"/>
          <w:sz w:val="32"/>
          <w:szCs w:val="32"/>
        </w:rPr>
      </w:pPr>
      <w:r>
        <w:rPr>
          <w:rFonts w:ascii="仿宋" w:eastAsia="仿宋" w:hAnsi="仿宋" w:cs="仿宋" w:hint="eastAsia"/>
          <w:kern w:val="0"/>
          <w:sz w:val="32"/>
          <w:szCs w:val="32"/>
        </w:rPr>
        <w:t>2.行政事业单位养老支出（款）机关事业单位基本养老保险缴费支出（项）。年初预算</w:t>
      </w:r>
      <w:r>
        <w:rPr>
          <w:rFonts w:ascii="仿宋" w:eastAsia="仿宋" w:hAnsi="仿宋" w:cs="仿宋" w:hint="eastAsia"/>
          <w:kern w:val="0"/>
          <w:sz w:val="32"/>
          <w:szCs w:val="32"/>
          <w:u w:val="single"/>
        </w:rPr>
        <w:t>3.63</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3.63</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100</w:t>
      </w:r>
      <w:r>
        <w:rPr>
          <w:rFonts w:ascii="仿宋" w:eastAsia="仿宋" w:hAnsi="仿宋" w:cs="仿宋" w:hint="eastAsia"/>
          <w:kern w:val="0"/>
          <w:sz w:val="32"/>
          <w:szCs w:val="32"/>
        </w:rPr>
        <w:t>%。</w:t>
      </w:r>
    </w:p>
    <w:p w:rsidR="00CF2B20" w:rsidRDefault="00B24772">
      <w:pPr>
        <w:widowControl/>
        <w:spacing w:before="240" w:after="240"/>
        <w:ind w:firstLine="497"/>
        <w:jc w:val="left"/>
        <w:rPr>
          <w:rFonts w:ascii="仿宋" w:eastAsia="仿宋" w:hAnsi="仿宋" w:cs="仿宋"/>
          <w:kern w:val="0"/>
          <w:sz w:val="32"/>
          <w:szCs w:val="32"/>
        </w:rPr>
      </w:pPr>
      <w:r>
        <w:rPr>
          <w:rFonts w:ascii="仿宋" w:eastAsia="仿宋" w:hAnsi="仿宋" w:cs="仿宋" w:hint="eastAsia"/>
          <w:kern w:val="0"/>
          <w:sz w:val="32"/>
          <w:szCs w:val="32"/>
        </w:rPr>
        <w:t>3．行政事业单位养老支出（款）机关事业单位职业年金缴费支出（项）。年初预算</w:t>
      </w:r>
      <w:r>
        <w:rPr>
          <w:rFonts w:ascii="仿宋" w:eastAsia="仿宋" w:hAnsi="仿宋" w:cs="仿宋" w:hint="eastAsia"/>
          <w:kern w:val="0"/>
          <w:sz w:val="32"/>
          <w:szCs w:val="32"/>
          <w:u w:val="single"/>
        </w:rPr>
        <w:t>1.81</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1.81</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100</w:t>
      </w:r>
      <w:r>
        <w:rPr>
          <w:rFonts w:ascii="仿宋" w:eastAsia="仿宋" w:hAnsi="仿宋" w:cs="仿宋" w:hint="eastAsia"/>
          <w:kern w:val="0"/>
          <w:sz w:val="32"/>
          <w:szCs w:val="32"/>
        </w:rPr>
        <w:t>%。</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（二）卫生健康支出（类）</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卫生健康支出类决算数为</w:t>
      </w:r>
      <w:r>
        <w:rPr>
          <w:rFonts w:ascii="仿宋" w:eastAsia="仿宋" w:hAnsi="仿宋" w:cs="仿宋" w:hint="eastAsia"/>
          <w:kern w:val="0"/>
          <w:sz w:val="32"/>
          <w:szCs w:val="32"/>
          <w:u w:val="single"/>
        </w:rPr>
        <w:t>1.81</w:t>
      </w:r>
      <w:r>
        <w:rPr>
          <w:rFonts w:ascii="仿宋" w:eastAsia="仿宋" w:hAnsi="仿宋" w:cs="仿宋" w:hint="eastAsia"/>
          <w:kern w:val="0"/>
          <w:sz w:val="32"/>
          <w:szCs w:val="32"/>
        </w:rPr>
        <w:t>万元，与年初预算相比减少</w:t>
      </w:r>
      <w:r>
        <w:rPr>
          <w:rFonts w:ascii="仿宋" w:eastAsia="仿宋" w:hAnsi="仿宋" w:cs="仿宋" w:hint="eastAsia"/>
          <w:kern w:val="0"/>
          <w:sz w:val="32"/>
          <w:szCs w:val="32"/>
          <w:u w:val="single"/>
        </w:rPr>
        <w:t>1.21</w:t>
      </w:r>
      <w:r>
        <w:rPr>
          <w:rFonts w:ascii="仿宋" w:eastAsia="仿宋" w:hAnsi="仿宋" w:cs="仿宋" w:hint="eastAsia"/>
          <w:kern w:val="0"/>
          <w:sz w:val="32"/>
          <w:szCs w:val="32"/>
        </w:rPr>
        <w:t>万元。其中：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1．行政事业单位医疗（款）行政单位医疗（项）。年初预算</w:t>
      </w:r>
      <w:r>
        <w:rPr>
          <w:rFonts w:ascii="仿宋" w:eastAsia="仿宋" w:hAnsi="仿宋" w:cs="仿宋" w:hint="eastAsia"/>
          <w:kern w:val="0"/>
          <w:sz w:val="32"/>
          <w:szCs w:val="32"/>
          <w:u w:val="single"/>
        </w:rPr>
        <w:t>1.72</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1.37</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79.65</w:t>
      </w:r>
      <w:r>
        <w:rPr>
          <w:rFonts w:ascii="仿宋" w:eastAsia="仿宋" w:hAnsi="仿宋" w:cs="仿宋" w:hint="eastAsia"/>
          <w:kern w:val="0"/>
          <w:sz w:val="32"/>
          <w:szCs w:val="32"/>
        </w:rPr>
        <w:t>%。决算数与年初预算数的差异原因：按2024年度实际基数缴纳医疗保险保险费用。</w:t>
      </w:r>
    </w:p>
    <w:p w:rsidR="00CF2B20" w:rsidRDefault="00B24772">
      <w:pPr>
        <w:widowControl/>
        <w:spacing w:before="240" w:after="240"/>
        <w:ind w:firstLine="498"/>
        <w:rPr>
          <w:rFonts w:ascii="仿宋" w:eastAsia="仿宋" w:hAnsi="仿宋" w:cs="仿宋"/>
          <w:kern w:val="0"/>
          <w:sz w:val="32"/>
          <w:szCs w:val="32"/>
        </w:rPr>
      </w:pPr>
      <w:r>
        <w:rPr>
          <w:rFonts w:ascii="仿宋" w:eastAsia="仿宋" w:hAnsi="仿宋" w:cs="仿宋" w:hint="eastAsia"/>
          <w:kern w:val="0"/>
          <w:sz w:val="32"/>
          <w:szCs w:val="32"/>
        </w:rPr>
        <w:lastRenderedPageBreak/>
        <w:t>2．行政事业单位医疗（款）公务员医疗补助（项）。年初预算</w:t>
      </w:r>
      <w:r>
        <w:rPr>
          <w:rFonts w:ascii="仿宋" w:eastAsia="仿宋" w:hAnsi="仿宋" w:cs="仿宋" w:hint="eastAsia"/>
          <w:kern w:val="0"/>
          <w:sz w:val="32"/>
          <w:szCs w:val="32"/>
          <w:u w:val="single"/>
        </w:rPr>
        <w:t>1.31</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0.44</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33.59</w:t>
      </w:r>
      <w:r>
        <w:rPr>
          <w:rFonts w:ascii="仿宋" w:eastAsia="仿宋" w:hAnsi="仿宋" w:cs="仿宋" w:hint="eastAsia"/>
          <w:kern w:val="0"/>
          <w:sz w:val="32"/>
          <w:szCs w:val="32"/>
        </w:rPr>
        <w:t>%。决算数与年初预算数的差异原因：按2024年度实际基数缴纳公务员医疗补助费用。</w:t>
      </w:r>
    </w:p>
    <w:p w:rsidR="00CF2B20" w:rsidRDefault="00B24772">
      <w:pPr>
        <w:widowControl/>
        <w:spacing w:beforeAutospacing="1" w:afterAutospacing="1" w:line="560" w:lineRule="atLeast"/>
        <w:ind w:firstLine="643"/>
        <w:rPr>
          <w:rFonts w:ascii="仿宋" w:eastAsia="仿宋" w:hAnsi="仿宋" w:cs="仿宋"/>
          <w:b/>
          <w:bCs/>
          <w:kern w:val="0"/>
          <w:sz w:val="32"/>
          <w:szCs w:val="32"/>
        </w:rPr>
      </w:pPr>
      <w:r>
        <w:rPr>
          <w:rFonts w:ascii="仿宋" w:eastAsia="仿宋" w:hAnsi="仿宋" w:cs="仿宋" w:hint="eastAsia"/>
          <w:b/>
          <w:bCs/>
          <w:kern w:val="0"/>
          <w:sz w:val="32"/>
          <w:szCs w:val="32"/>
        </w:rPr>
        <w:t>（三）资源勘探工业信息等支出（类）</w:t>
      </w:r>
    </w:p>
    <w:p w:rsidR="00CF2B20" w:rsidRDefault="00B24772">
      <w:pPr>
        <w:widowControl/>
        <w:spacing w:beforeAutospacing="1" w:afterAutospacing="1" w:line="560" w:lineRule="atLeast"/>
        <w:ind w:firstLine="640"/>
        <w:rPr>
          <w:rFonts w:ascii="仿宋" w:eastAsia="仿宋" w:hAnsi="仿宋" w:cs="仿宋"/>
          <w:kern w:val="0"/>
          <w:sz w:val="32"/>
          <w:szCs w:val="32"/>
        </w:rPr>
      </w:pPr>
      <w:r>
        <w:rPr>
          <w:rFonts w:ascii="仿宋" w:eastAsia="仿宋" w:hAnsi="仿宋" w:cs="仿宋" w:hint="eastAsia"/>
          <w:kern w:val="0"/>
          <w:sz w:val="32"/>
          <w:szCs w:val="32"/>
        </w:rPr>
        <w:t>资源勘探工业信息等支出类决算数为</w:t>
      </w:r>
      <w:r>
        <w:rPr>
          <w:rFonts w:ascii="仿宋" w:eastAsia="仿宋" w:hAnsi="仿宋" w:cs="仿宋" w:hint="eastAsia"/>
          <w:kern w:val="0"/>
          <w:sz w:val="32"/>
          <w:szCs w:val="32"/>
          <w:u w:val="single"/>
        </w:rPr>
        <w:t>224.46</w:t>
      </w:r>
      <w:r>
        <w:rPr>
          <w:rFonts w:ascii="仿宋" w:eastAsia="仿宋" w:hAnsi="仿宋" w:cs="仿宋" w:hint="eastAsia"/>
          <w:kern w:val="0"/>
          <w:sz w:val="32"/>
          <w:szCs w:val="32"/>
        </w:rPr>
        <w:t>万元，与年初预算相比减少</w:t>
      </w:r>
      <w:r>
        <w:rPr>
          <w:rFonts w:ascii="仿宋" w:eastAsia="仿宋" w:hAnsi="仿宋" w:cs="仿宋" w:hint="eastAsia"/>
          <w:kern w:val="0"/>
          <w:sz w:val="32"/>
          <w:szCs w:val="32"/>
          <w:u w:val="single"/>
        </w:rPr>
        <w:t>41.84</w:t>
      </w:r>
      <w:r>
        <w:rPr>
          <w:rFonts w:ascii="仿宋" w:eastAsia="仿宋" w:hAnsi="仿宋" w:cs="仿宋" w:hint="eastAsia"/>
          <w:kern w:val="0"/>
          <w:sz w:val="32"/>
          <w:szCs w:val="32"/>
        </w:rPr>
        <w:t>万元。其中：</w:t>
      </w:r>
    </w:p>
    <w:p w:rsidR="00CF2B20" w:rsidRDefault="00B24772">
      <w:pPr>
        <w:widowControl/>
        <w:spacing w:beforeAutospacing="1" w:afterAutospacing="1" w:line="560" w:lineRule="atLeast"/>
        <w:ind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1．</w:t>
      </w:r>
      <w:r>
        <w:rPr>
          <w:rFonts w:ascii="仿宋" w:eastAsia="仿宋" w:hAnsi="仿宋" w:cs="仿宋" w:hint="eastAsia"/>
          <w:kern w:val="0"/>
          <w:sz w:val="32"/>
          <w:szCs w:val="32"/>
        </w:rPr>
        <w:t>工业和信息产业监管（款）行政运行支出（项）。年初预算</w:t>
      </w:r>
      <w:r>
        <w:rPr>
          <w:rFonts w:ascii="仿宋" w:eastAsia="仿宋" w:hAnsi="仿宋" w:cs="仿宋" w:hint="eastAsia"/>
          <w:kern w:val="0"/>
          <w:sz w:val="32"/>
          <w:szCs w:val="32"/>
          <w:u w:val="single"/>
        </w:rPr>
        <w:t>51.58</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48.91</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 xml:space="preserve"> 94.82 </w:t>
      </w:r>
      <w:r>
        <w:rPr>
          <w:rFonts w:ascii="仿宋" w:eastAsia="仿宋" w:hAnsi="仿宋" w:cs="仿宋" w:hint="eastAsia"/>
          <w:kern w:val="0"/>
          <w:sz w:val="32"/>
          <w:szCs w:val="32"/>
        </w:rPr>
        <w:t>%。决算数与年初预算数的差异原因：根据相关文件，厉行节约，缩减经费</w:t>
      </w:r>
    </w:p>
    <w:p w:rsidR="00CF2B20" w:rsidRDefault="00B24772">
      <w:pPr>
        <w:pStyle w:val="a0"/>
        <w:widowControl/>
        <w:ind w:firstLineChars="200" w:firstLine="640"/>
        <w:jc w:val="both"/>
      </w:pPr>
      <w:r>
        <w:rPr>
          <w:rFonts w:ascii="仿宋" w:eastAsia="仿宋" w:hAnsi="仿宋" w:cs="仿宋" w:hint="eastAsia"/>
          <w:sz w:val="32"/>
          <w:szCs w:val="32"/>
        </w:rPr>
        <w:t>2.工业和信息产业监管（款）无线电及信息通信监管支出（项）。年初预算</w:t>
      </w:r>
      <w:r>
        <w:rPr>
          <w:rFonts w:ascii="仿宋" w:eastAsia="仿宋" w:hAnsi="仿宋" w:cs="仿宋" w:hint="eastAsia"/>
          <w:sz w:val="32"/>
          <w:szCs w:val="32"/>
          <w:u w:val="single"/>
        </w:rPr>
        <w:t>214.72</w:t>
      </w:r>
      <w:r>
        <w:rPr>
          <w:rFonts w:ascii="仿宋" w:eastAsia="仿宋" w:hAnsi="仿宋" w:cs="仿宋" w:hint="eastAsia"/>
          <w:sz w:val="32"/>
          <w:szCs w:val="32"/>
        </w:rPr>
        <w:t>万元，支出决算</w:t>
      </w:r>
      <w:r>
        <w:rPr>
          <w:rFonts w:ascii="仿宋" w:eastAsia="仿宋" w:hAnsi="仿宋" w:cs="仿宋" w:hint="eastAsia"/>
          <w:sz w:val="32"/>
          <w:szCs w:val="32"/>
          <w:u w:val="single"/>
        </w:rPr>
        <w:t>175.55</w:t>
      </w:r>
      <w:r>
        <w:rPr>
          <w:rFonts w:ascii="仿宋" w:eastAsia="仿宋" w:hAnsi="仿宋" w:cs="仿宋" w:hint="eastAsia"/>
          <w:sz w:val="32"/>
          <w:szCs w:val="32"/>
        </w:rPr>
        <w:t>万元，完成年初预算的</w:t>
      </w:r>
      <w:r>
        <w:rPr>
          <w:rFonts w:ascii="仿宋" w:eastAsia="仿宋" w:hAnsi="仿宋" w:cs="仿宋" w:hint="eastAsia"/>
          <w:sz w:val="32"/>
          <w:szCs w:val="32"/>
          <w:u w:val="single"/>
        </w:rPr>
        <w:t>81.76</w:t>
      </w:r>
      <w:r>
        <w:rPr>
          <w:rFonts w:ascii="仿宋" w:eastAsia="仿宋" w:hAnsi="仿宋" w:cs="仿宋" w:hint="eastAsia"/>
          <w:sz w:val="32"/>
          <w:szCs w:val="32"/>
        </w:rPr>
        <w:t>%。决算数与年初预算数的差异原因：根据相关文件，厉行节约，缩减经费。</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（四）住房保障支出（类）</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住房保障支出类决算数为</w:t>
      </w:r>
      <w:r>
        <w:rPr>
          <w:rFonts w:ascii="仿宋" w:eastAsia="仿宋" w:hAnsi="仿宋" w:cs="仿宋" w:hint="eastAsia"/>
          <w:kern w:val="0"/>
          <w:sz w:val="32"/>
          <w:szCs w:val="32"/>
          <w:u w:val="single"/>
        </w:rPr>
        <w:t>3.47</w:t>
      </w:r>
      <w:r>
        <w:rPr>
          <w:rFonts w:ascii="仿宋" w:eastAsia="仿宋" w:hAnsi="仿宋" w:cs="仿宋" w:hint="eastAsia"/>
          <w:kern w:val="0"/>
          <w:sz w:val="32"/>
          <w:szCs w:val="32"/>
        </w:rPr>
        <w:t>万元，与年初预算相比减少</w:t>
      </w:r>
      <w:r>
        <w:rPr>
          <w:rFonts w:ascii="仿宋" w:eastAsia="仿宋" w:hAnsi="仿宋" w:cs="仿宋" w:hint="eastAsia"/>
          <w:kern w:val="0"/>
          <w:sz w:val="32"/>
          <w:szCs w:val="32"/>
          <w:u w:val="single"/>
        </w:rPr>
        <w:t xml:space="preserve"> 0.28</w:t>
      </w:r>
      <w:r>
        <w:rPr>
          <w:rFonts w:ascii="仿宋" w:eastAsia="仿宋" w:hAnsi="仿宋" w:cs="仿宋" w:hint="eastAsia"/>
          <w:kern w:val="0"/>
          <w:sz w:val="32"/>
          <w:szCs w:val="32"/>
        </w:rPr>
        <w:t>万元。其中：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1．住房改革支出（款）住房公积金（项）。年初预算</w:t>
      </w:r>
      <w:r>
        <w:rPr>
          <w:rFonts w:ascii="仿宋" w:eastAsia="仿宋" w:hAnsi="仿宋" w:cs="仿宋" w:hint="eastAsia"/>
          <w:kern w:val="0"/>
          <w:sz w:val="32"/>
          <w:szCs w:val="32"/>
          <w:u w:val="single"/>
        </w:rPr>
        <w:t>3.75</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3.47</w:t>
      </w:r>
      <w:r>
        <w:rPr>
          <w:rFonts w:ascii="仿宋" w:eastAsia="仿宋" w:hAnsi="仿宋" w:cs="仿宋" w:hint="eastAsia"/>
          <w:kern w:val="0"/>
          <w:sz w:val="32"/>
          <w:szCs w:val="32"/>
        </w:rPr>
        <w:t>万元，完成年初预算的</w:t>
      </w:r>
      <w:r>
        <w:rPr>
          <w:rFonts w:ascii="仿宋" w:eastAsia="仿宋" w:hAnsi="仿宋" w:cs="仿宋" w:hint="eastAsia"/>
          <w:kern w:val="0"/>
          <w:sz w:val="32"/>
          <w:szCs w:val="32"/>
          <w:u w:val="single"/>
        </w:rPr>
        <w:t>92.53</w:t>
      </w:r>
      <w:r>
        <w:rPr>
          <w:rFonts w:ascii="仿宋" w:eastAsia="仿宋" w:hAnsi="仿宋" w:cs="仿宋" w:hint="eastAsia"/>
          <w:kern w:val="0"/>
          <w:sz w:val="32"/>
          <w:szCs w:val="32"/>
        </w:rPr>
        <w:t>%。决算数与年初预算数的差异原因：按2024年度实际基数缴纳住房公积金费用。</w:t>
      </w:r>
    </w:p>
    <w:p w:rsidR="00CF2B20" w:rsidRDefault="00CF2B20">
      <w:pPr>
        <w:pStyle w:val="a0"/>
      </w:pP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六、一般公共预算财政拨款基本支出决算情况说明</w:t>
      </w:r>
    </w:p>
    <w:p w:rsidR="00CF2B20" w:rsidRDefault="00B24772">
      <w:pPr>
        <w:widowControl/>
        <w:spacing w:before="240" w:after="240"/>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内蒙古自治区工业和信息化厅驻锡林郭勒盟无线电管理处 2024年度一般公共预算财政拨款基本支出决算</w:t>
      </w:r>
      <w:r>
        <w:rPr>
          <w:rFonts w:ascii="仿宋" w:eastAsia="仿宋" w:hAnsi="仿宋" w:cs="仿宋" w:hint="eastAsia"/>
          <w:kern w:val="0"/>
          <w:sz w:val="32"/>
          <w:szCs w:val="32"/>
          <w:u w:val="single"/>
        </w:rPr>
        <w:t>60.71</w:t>
      </w:r>
      <w:r>
        <w:rPr>
          <w:rFonts w:ascii="仿宋" w:eastAsia="仿宋" w:hAnsi="仿宋" w:cs="仿宋" w:hint="eastAsia"/>
          <w:kern w:val="0"/>
          <w:sz w:val="32"/>
          <w:szCs w:val="32"/>
        </w:rPr>
        <w:t>万元，其中：</w:t>
      </w:r>
    </w:p>
    <w:p w:rsidR="00CF2B20" w:rsidRDefault="00B24772">
      <w:pPr>
        <w:widowControl/>
        <w:spacing w:before="240" w:after="240"/>
        <w:ind w:firstLineChars="68" w:firstLine="218"/>
        <w:rPr>
          <w:rFonts w:ascii="仿宋" w:eastAsia="仿宋" w:hAnsi="仿宋" w:cs="仿宋"/>
          <w:kern w:val="0"/>
          <w:sz w:val="32"/>
          <w:szCs w:val="32"/>
        </w:rPr>
      </w:pPr>
      <w:r>
        <w:rPr>
          <w:rFonts w:ascii="仿宋" w:eastAsia="仿宋" w:hAnsi="仿宋" w:cs="仿宋" w:hint="eastAsia"/>
          <w:b/>
          <w:bCs/>
          <w:kern w:val="0"/>
          <w:sz w:val="32"/>
          <w:szCs w:val="32"/>
        </w:rPr>
        <w:t xml:space="preserve">  （一）人员经费</w:t>
      </w:r>
      <w:r>
        <w:rPr>
          <w:rFonts w:ascii="仿宋" w:eastAsia="仿宋" w:hAnsi="仿宋" w:cs="仿宋" w:hint="eastAsia"/>
          <w:kern w:val="0"/>
          <w:sz w:val="32"/>
          <w:szCs w:val="32"/>
          <w:u w:val="single"/>
        </w:rPr>
        <w:t xml:space="preserve"> 54.96</w:t>
      </w:r>
      <w:r>
        <w:rPr>
          <w:rFonts w:ascii="仿宋" w:eastAsia="仿宋" w:hAnsi="仿宋" w:cs="仿宋" w:hint="eastAsia"/>
          <w:b/>
          <w:bCs/>
          <w:kern w:val="0"/>
          <w:sz w:val="32"/>
          <w:szCs w:val="32"/>
        </w:rPr>
        <w:t>万元</w:t>
      </w:r>
      <w:r>
        <w:rPr>
          <w:rFonts w:ascii="仿宋" w:eastAsia="仿宋" w:hAnsi="仿宋" w:cs="仿宋" w:hint="eastAsia"/>
          <w:kern w:val="0"/>
          <w:sz w:val="32"/>
          <w:szCs w:val="32"/>
        </w:rPr>
        <w:t>。主要包括：基本工资11.23万元、津贴补贴14.76万元、奖金3.32万元、机关事业单位基本养老保险缴费3.63万元、职业年金缴费1.81万元、职工基本医疗保险缴费1.37万元、公务员医疗补助缴费0.44万元、其他社会保障缴费0.05万元、住房公积金3.47万元、其他工资福利支出11.58万元、退休费1.07万元、生活补助2.23万元。</w:t>
      </w:r>
    </w:p>
    <w:p w:rsidR="00CF2B20" w:rsidRDefault="00B24772">
      <w:pPr>
        <w:widowControl/>
        <w:spacing w:before="240" w:after="240"/>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（二）公用经费</w:t>
      </w:r>
      <w:r>
        <w:rPr>
          <w:rFonts w:ascii="仿宋" w:eastAsia="仿宋" w:hAnsi="仿宋" w:cs="仿宋" w:hint="eastAsia"/>
          <w:kern w:val="0"/>
          <w:sz w:val="32"/>
          <w:szCs w:val="32"/>
          <w:u w:val="single"/>
        </w:rPr>
        <w:t xml:space="preserve"> 5.75</w:t>
      </w:r>
      <w:r>
        <w:rPr>
          <w:rFonts w:ascii="仿宋" w:eastAsia="仿宋" w:hAnsi="仿宋" w:cs="仿宋" w:hint="eastAsia"/>
          <w:b/>
          <w:bCs/>
          <w:kern w:val="0"/>
          <w:sz w:val="32"/>
          <w:szCs w:val="32"/>
        </w:rPr>
        <w:t>万元</w:t>
      </w:r>
      <w:r>
        <w:rPr>
          <w:rFonts w:ascii="仿宋" w:eastAsia="仿宋" w:hAnsi="仿宋" w:cs="仿宋" w:hint="eastAsia"/>
          <w:kern w:val="0"/>
          <w:sz w:val="32"/>
          <w:szCs w:val="32"/>
        </w:rPr>
        <w:t>。主要包括：手续费0.1万元、邮电费1.08万元、差旅费1.0万元、工会经费0.58万元、福利费0.83万元、其他交通费用2.16万元。</w:t>
      </w:r>
    </w:p>
    <w:p w:rsidR="00CF2B20" w:rsidRDefault="00B24772">
      <w:pPr>
        <w:widowControl/>
        <w:spacing w:before="240" w:after="240"/>
        <w:ind w:firstLineChars="100" w:firstLine="321"/>
        <w:jc w:val="left"/>
        <w:rPr>
          <w:rFonts w:eastAsia="Times New Roman"/>
          <w:kern w:val="0"/>
          <w:sz w:val="24"/>
        </w:rPr>
      </w:pPr>
      <w:r>
        <w:rPr>
          <w:rFonts w:ascii="黑体" w:eastAsia="黑体" w:hAnsi="黑体" w:cs="黑体"/>
          <w:b/>
          <w:bCs/>
          <w:kern w:val="0"/>
          <w:sz w:val="32"/>
          <w:szCs w:val="32"/>
        </w:rPr>
        <w:t>七、一般公共预算财政拨款项目支出决算情况说明</w:t>
      </w:r>
    </w:p>
    <w:p w:rsidR="00CF2B20" w:rsidRDefault="00B24772">
      <w:pPr>
        <w:widowControl/>
        <w:spacing w:before="240" w:after="240"/>
        <w:rPr>
          <w:rFonts w:ascii="仿宋" w:eastAsia="仿宋" w:hAnsi="仿宋" w:cs="仿宋"/>
          <w:kern w:val="0"/>
          <w:sz w:val="32"/>
          <w:szCs w:val="32"/>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 w:eastAsia="仿宋" w:hAnsi="仿宋" w:cs="仿宋" w:hint="eastAsia"/>
          <w:color w:val="000000"/>
          <w:kern w:val="0"/>
          <w:sz w:val="32"/>
          <w:szCs w:val="32"/>
        </w:rPr>
        <w:t>内蒙古自治区工业和信息化厅驻锡林郭勒盟无线电管理处 2024年度一般公共预算财政拨款项目支出决算</w:t>
      </w:r>
      <w:r>
        <w:rPr>
          <w:rFonts w:ascii="仿宋" w:eastAsia="仿宋" w:hAnsi="仿宋" w:cs="仿宋" w:hint="eastAsia"/>
          <w:color w:val="000000"/>
          <w:kern w:val="0"/>
          <w:sz w:val="32"/>
          <w:szCs w:val="32"/>
          <w:u w:val="single" w:color="000000"/>
        </w:rPr>
        <w:t xml:space="preserve"> 175.55</w:t>
      </w:r>
      <w:r>
        <w:rPr>
          <w:rFonts w:ascii="仿宋" w:eastAsia="仿宋" w:hAnsi="仿宋" w:cs="仿宋" w:hint="eastAsia"/>
          <w:color w:val="000000"/>
          <w:kern w:val="0"/>
          <w:sz w:val="32"/>
          <w:szCs w:val="32"/>
        </w:rPr>
        <w:t>万元，其中：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b/>
          <w:bCs/>
          <w:color w:val="000000"/>
          <w:kern w:val="0"/>
          <w:sz w:val="32"/>
          <w:szCs w:val="32"/>
        </w:rPr>
        <w:t>    （一）工资福利支出</w:t>
      </w:r>
      <w:r>
        <w:rPr>
          <w:rFonts w:ascii="仿宋" w:eastAsia="仿宋" w:hAnsi="仿宋" w:cs="仿宋" w:hint="eastAsia"/>
          <w:color w:val="000000"/>
          <w:kern w:val="0"/>
          <w:sz w:val="32"/>
          <w:szCs w:val="32"/>
          <w:u w:val="single" w:color="000000"/>
        </w:rPr>
        <w:t xml:space="preserve"> </w:t>
      </w:r>
      <w:r>
        <w:rPr>
          <w:rFonts w:ascii="仿宋" w:eastAsia="仿宋" w:hAnsi="仿宋" w:cs="仿宋" w:hint="eastAsia"/>
          <w:b/>
          <w:bCs/>
          <w:color w:val="000000"/>
          <w:kern w:val="0"/>
          <w:sz w:val="32"/>
          <w:szCs w:val="32"/>
          <w:u w:val="single" w:color="000000"/>
        </w:rPr>
        <w:t>0</w:t>
      </w:r>
      <w:r>
        <w:rPr>
          <w:rFonts w:ascii="仿宋" w:eastAsia="仿宋" w:hAnsi="仿宋" w:cs="仿宋" w:hint="eastAsia"/>
          <w:color w:val="000000"/>
          <w:kern w:val="0"/>
          <w:sz w:val="32"/>
          <w:szCs w:val="32"/>
        </w:rPr>
        <w:t>万元。主要包括：基本工资、津贴补贴、奖金、伙食补助费、绩效工资、机关事业单位基本养老保险缴费、职</w:t>
      </w:r>
      <w:r>
        <w:rPr>
          <w:rFonts w:ascii="仿宋" w:eastAsia="仿宋" w:hAnsi="仿宋" w:cs="仿宋" w:hint="eastAsia"/>
          <w:color w:val="000000"/>
          <w:kern w:val="0"/>
          <w:sz w:val="32"/>
          <w:szCs w:val="32"/>
        </w:rPr>
        <w:lastRenderedPageBreak/>
        <w:t>业年金缴费、职工基本医疗保险缴费、公务员医疗补助缴费、其他社会保障缴费、住房公积金、医疗费、其他工资福利支出等。</w:t>
      </w:r>
    </w:p>
    <w:p w:rsidR="00CF2B20" w:rsidRDefault="00B24772">
      <w:pPr>
        <w:widowControl/>
        <w:spacing w:before="240" w:after="240"/>
        <w:ind w:firstLine="500"/>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（二）商品和服务支出</w:t>
      </w:r>
      <w:r>
        <w:rPr>
          <w:rFonts w:ascii="仿宋" w:eastAsia="仿宋" w:hAnsi="仿宋" w:cs="仿宋" w:hint="eastAsia"/>
          <w:b/>
          <w:bCs/>
          <w:color w:val="000000"/>
          <w:kern w:val="0"/>
          <w:sz w:val="32"/>
          <w:szCs w:val="32"/>
          <w:u w:val="single" w:color="000000"/>
        </w:rPr>
        <w:t xml:space="preserve"> 172.00</w:t>
      </w:r>
      <w:r>
        <w:rPr>
          <w:rFonts w:ascii="仿宋" w:eastAsia="仿宋" w:hAnsi="仿宋" w:cs="仿宋" w:hint="eastAsia"/>
          <w:color w:val="000000"/>
          <w:kern w:val="0"/>
          <w:sz w:val="32"/>
          <w:szCs w:val="32"/>
        </w:rPr>
        <w:t>万元。主要包括：办公费1.95万元、印刷费0.2万元、水费0.07万元、电费1.5万元、取暖费4.19万元、物业管理费4.5万元、差旅费8.01万元、维修（护）费40.08万元、租赁费100.7万元、劳务费3.2万元、公务用车运行维护费7.61万元。</w:t>
      </w:r>
    </w:p>
    <w:p w:rsidR="00CF2B20" w:rsidRDefault="00B24772">
      <w:pPr>
        <w:widowControl/>
        <w:spacing w:before="240" w:after="240"/>
        <w:ind w:firstLineChars="200" w:firstLine="643"/>
      </w:pPr>
      <w:r>
        <w:rPr>
          <w:rFonts w:ascii="仿宋" w:eastAsia="仿宋" w:hAnsi="仿宋" w:cs="仿宋" w:hint="eastAsia"/>
          <w:b/>
          <w:bCs/>
          <w:color w:val="000000"/>
          <w:kern w:val="0"/>
          <w:sz w:val="32"/>
          <w:szCs w:val="32"/>
        </w:rPr>
        <w:t>（三）资本性支出</w:t>
      </w:r>
      <w:r>
        <w:rPr>
          <w:rFonts w:ascii="仿宋" w:eastAsia="仿宋" w:hAnsi="仿宋" w:cs="仿宋" w:hint="eastAsia"/>
          <w:b/>
          <w:bCs/>
          <w:color w:val="000000"/>
          <w:kern w:val="0"/>
          <w:sz w:val="32"/>
          <w:szCs w:val="32"/>
          <w:u w:val="single" w:color="000000"/>
        </w:rPr>
        <w:t xml:space="preserve"> 3.55</w:t>
      </w:r>
      <w:r>
        <w:rPr>
          <w:rFonts w:ascii="仿宋" w:eastAsia="仿宋" w:hAnsi="仿宋" w:cs="仿宋" w:hint="eastAsia"/>
          <w:b/>
          <w:bCs/>
          <w:color w:val="000000"/>
          <w:kern w:val="0"/>
          <w:sz w:val="32"/>
          <w:szCs w:val="32"/>
        </w:rPr>
        <w:t>万元。</w:t>
      </w:r>
      <w:r>
        <w:rPr>
          <w:rFonts w:ascii="仿宋" w:eastAsia="仿宋" w:hAnsi="仿宋" w:cs="仿宋" w:hint="eastAsia"/>
          <w:color w:val="000000"/>
          <w:kern w:val="0"/>
          <w:sz w:val="32"/>
          <w:szCs w:val="32"/>
        </w:rPr>
        <w:t>主要包括：办公设备购置3.55万元。</w:t>
      </w:r>
    </w:p>
    <w:p w:rsidR="00CF2B20" w:rsidRDefault="00B24772">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32"/>
          <w:szCs w:val="32"/>
        </w:rPr>
        <w:t> </w:t>
      </w:r>
      <w:r>
        <w:rPr>
          <w:rFonts w:ascii="黑体" w:eastAsia="黑体" w:hAnsi="黑体" w:cs="黑体" w:hint="eastAsia"/>
          <w:b/>
          <w:bCs/>
          <w:kern w:val="0"/>
          <w:sz w:val="32"/>
          <w:szCs w:val="32"/>
        </w:rPr>
        <w:t>八</w:t>
      </w:r>
      <w:r>
        <w:rPr>
          <w:rFonts w:ascii="黑体" w:eastAsia="黑体" w:hAnsi="黑体" w:cs="黑体"/>
          <w:b/>
          <w:bCs/>
          <w:kern w:val="0"/>
          <w:sz w:val="32"/>
          <w:szCs w:val="32"/>
        </w:rPr>
        <w:t>、财政拨款“三公”经费支出决算情况说明</w:t>
      </w:r>
    </w:p>
    <w:p w:rsidR="00CF2B20" w:rsidRDefault="00B24772">
      <w:pPr>
        <w:widowControl/>
        <w:spacing w:before="240" w:after="240"/>
        <w:jc w:val="left"/>
        <w:rPr>
          <w:rFonts w:ascii="仿宋" w:eastAsia="仿宋" w:hAnsi="仿宋" w:cs="仿宋"/>
          <w:kern w:val="0"/>
          <w:sz w:val="32"/>
          <w:szCs w:val="32"/>
        </w:rPr>
      </w:pPr>
      <w:r>
        <w:rPr>
          <w:rFonts w:ascii="kai_ti_gb2312" w:eastAsia="kai_ti_gb2312" w:hAnsi="kai_ti_gb2312" w:cs="kai_ti_gb2312"/>
          <w:b/>
          <w:bCs/>
          <w:kern w:val="0"/>
          <w:sz w:val="27"/>
          <w:szCs w:val="27"/>
        </w:rPr>
        <w:t xml:space="preserve">    </w:t>
      </w:r>
      <w:r>
        <w:rPr>
          <w:rFonts w:ascii="仿宋" w:eastAsia="仿宋" w:hAnsi="仿宋" w:cs="仿宋" w:hint="eastAsia"/>
          <w:b/>
          <w:bCs/>
          <w:kern w:val="0"/>
          <w:sz w:val="32"/>
          <w:szCs w:val="32"/>
        </w:rPr>
        <w:t>（一）财政拨款“三公”经费支出总体情况说明。</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内蒙古自治区工业和信息化厅驻锡林郭勒盟无线电管理处 2024年度财政拨款“三公”经费全年预算</w:t>
      </w:r>
      <w:r>
        <w:rPr>
          <w:rFonts w:ascii="仿宋" w:eastAsia="仿宋" w:hAnsi="仿宋" w:cs="仿宋" w:hint="eastAsia"/>
          <w:kern w:val="0"/>
          <w:sz w:val="32"/>
          <w:szCs w:val="32"/>
          <w:u w:val="single"/>
        </w:rPr>
        <w:t>7.61</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7.61</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100.00 </w:t>
      </w:r>
      <w:r>
        <w:rPr>
          <w:rFonts w:ascii="仿宋" w:eastAsia="仿宋" w:hAnsi="仿宋" w:cs="仿宋" w:hint="eastAsia"/>
          <w:kern w:val="0"/>
          <w:sz w:val="32"/>
          <w:szCs w:val="32"/>
        </w:rPr>
        <w:t>%。其中：因公出国（境）费全年预算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%；公务用车购置及运行维护费全年预算</w:t>
      </w:r>
      <w:r>
        <w:rPr>
          <w:rFonts w:ascii="仿宋" w:eastAsia="仿宋" w:hAnsi="仿宋" w:cs="仿宋" w:hint="eastAsia"/>
          <w:kern w:val="0"/>
          <w:sz w:val="32"/>
          <w:szCs w:val="32"/>
          <w:u w:val="single"/>
        </w:rPr>
        <w:t xml:space="preserve"> 7.61</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 xml:space="preserve"> 7.61</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 xml:space="preserve"> 100.00</w:t>
      </w:r>
      <w:r>
        <w:rPr>
          <w:rFonts w:ascii="仿宋" w:eastAsia="仿宋" w:hAnsi="仿宋" w:cs="仿宋" w:hint="eastAsia"/>
          <w:kern w:val="0"/>
          <w:sz w:val="32"/>
          <w:szCs w:val="32"/>
        </w:rPr>
        <w:t>%；公务接待费全年预算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（二）财政拨款“三公”经费支出具体情况说明。</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内蒙古自治区工业和信息化厅驻锡林郭勒盟无线电管理处 2024年度财政拨款“三公”经费支出</w:t>
      </w:r>
      <w:r>
        <w:rPr>
          <w:rFonts w:ascii="仿宋" w:eastAsia="仿宋" w:hAnsi="仿宋" w:cs="仿宋" w:hint="eastAsia"/>
          <w:kern w:val="0"/>
          <w:sz w:val="32"/>
          <w:szCs w:val="32"/>
          <w:u w:val="single"/>
        </w:rPr>
        <w:t xml:space="preserve"> 7.61</w:t>
      </w:r>
      <w:r>
        <w:rPr>
          <w:rFonts w:ascii="仿宋" w:eastAsia="仿宋" w:hAnsi="仿宋" w:cs="仿宋" w:hint="eastAsia"/>
          <w:kern w:val="0"/>
          <w:sz w:val="32"/>
          <w:szCs w:val="32"/>
        </w:rPr>
        <w:t>万元。因公出国（境）费</w:t>
      </w:r>
      <w:r>
        <w:rPr>
          <w:rFonts w:ascii="仿宋" w:eastAsia="仿宋" w:hAnsi="仿宋" w:cs="仿宋" w:hint="eastAsia"/>
          <w:kern w:val="0"/>
          <w:sz w:val="32"/>
          <w:szCs w:val="32"/>
        </w:rPr>
        <w:lastRenderedPageBreak/>
        <w:t>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%；公务用车购置及运行维护费支出</w:t>
      </w:r>
      <w:r>
        <w:rPr>
          <w:rFonts w:ascii="仿宋" w:eastAsia="仿宋" w:hAnsi="仿宋" w:cs="仿宋" w:hint="eastAsia"/>
          <w:kern w:val="0"/>
          <w:sz w:val="32"/>
          <w:szCs w:val="32"/>
          <w:u w:val="single"/>
        </w:rPr>
        <w:t xml:space="preserve"> 7.61</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100.00</w:t>
      </w:r>
      <w:r>
        <w:rPr>
          <w:rFonts w:ascii="仿宋" w:eastAsia="仿宋" w:hAnsi="仿宋" w:cs="仿宋" w:hint="eastAsia"/>
          <w:kern w:val="0"/>
          <w:sz w:val="32"/>
          <w:szCs w:val="32"/>
        </w:rPr>
        <w:t>%；公务接待费支出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1.因公出国（境）费支出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万元，全年出国（境）团组</w:t>
      </w:r>
      <w:r>
        <w:rPr>
          <w:rFonts w:ascii="仿宋" w:eastAsia="仿宋" w:hAnsi="仿宋" w:cs="仿宋" w:hint="eastAsia"/>
          <w:kern w:val="0"/>
          <w:sz w:val="32"/>
          <w:szCs w:val="32"/>
          <w:u w:val="single"/>
        </w:rPr>
        <w:t xml:space="preserve">0 </w:t>
      </w:r>
      <w:proofErr w:type="gramStart"/>
      <w:r>
        <w:rPr>
          <w:rFonts w:ascii="仿宋" w:eastAsia="仿宋" w:hAnsi="仿宋" w:cs="仿宋" w:hint="eastAsia"/>
          <w:kern w:val="0"/>
          <w:sz w:val="32"/>
          <w:szCs w:val="32"/>
        </w:rPr>
        <w:t>个</w:t>
      </w:r>
      <w:proofErr w:type="gramEnd"/>
      <w:r>
        <w:rPr>
          <w:rFonts w:ascii="仿宋" w:eastAsia="仿宋" w:hAnsi="仿宋" w:cs="仿宋" w:hint="eastAsia"/>
          <w:kern w:val="0"/>
          <w:sz w:val="32"/>
          <w:szCs w:val="32"/>
        </w:rPr>
        <w:t>，累计</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人次。与上年决算相比，增加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%，变动原因：不存在此项内容。</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2.公务用车购置及运行维护费支出</w:t>
      </w:r>
      <w:r>
        <w:rPr>
          <w:rFonts w:ascii="仿宋" w:eastAsia="仿宋" w:hAnsi="仿宋" w:cs="仿宋" w:hint="eastAsia"/>
          <w:kern w:val="0"/>
          <w:sz w:val="32"/>
          <w:szCs w:val="32"/>
          <w:u w:val="single"/>
        </w:rPr>
        <w:t xml:space="preserve"> 7.61</w:t>
      </w:r>
      <w:r>
        <w:rPr>
          <w:rFonts w:ascii="仿宋" w:eastAsia="仿宋" w:hAnsi="仿宋" w:cs="仿宋" w:hint="eastAsia"/>
          <w:kern w:val="0"/>
          <w:sz w:val="32"/>
          <w:szCs w:val="32"/>
        </w:rPr>
        <w:t>万元。其中：</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（1）公务用车购置支出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万元。本年度使用财政拨款购置公务用车</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辆，与上年决算相比，增加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万元，增长0%，变动原因：不存在此项内容。</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（2）公务用车运行维护费支出</w:t>
      </w:r>
      <w:r>
        <w:rPr>
          <w:rFonts w:ascii="仿宋" w:eastAsia="仿宋" w:hAnsi="仿宋" w:cs="仿宋" w:hint="eastAsia"/>
          <w:kern w:val="0"/>
          <w:sz w:val="32"/>
          <w:szCs w:val="32"/>
          <w:u w:val="single"/>
        </w:rPr>
        <w:t xml:space="preserve"> 7.61</w:t>
      </w:r>
      <w:r>
        <w:rPr>
          <w:rFonts w:ascii="仿宋" w:eastAsia="仿宋" w:hAnsi="仿宋" w:cs="仿宋" w:hint="eastAsia"/>
          <w:kern w:val="0"/>
          <w:sz w:val="32"/>
          <w:szCs w:val="32"/>
        </w:rPr>
        <w:t>万元。公务用车运行维护费主要用于按规定保留的公务用车的燃料费、维修费、过桥过路费、保险费、安全奖励费用等支出。截至2024年12月31日，使用财政拨款开支的公务用车保有量为</w:t>
      </w:r>
      <w:r>
        <w:rPr>
          <w:rFonts w:ascii="仿宋" w:eastAsia="仿宋" w:hAnsi="仿宋" w:cs="仿宋" w:hint="eastAsia"/>
          <w:kern w:val="0"/>
          <w:sz w:val="32"/>
          <w:szCs w:val="32"/>
          <w:u w:val="single"/>
        </w:rPr>
        <w:t xml:space="preserve">5 </w:t>
      </w:r>
      <w:r>
        <w:rPr>
          <w:rFonts w:ascii="仿宋" w:eastAsia="仿宋" w:hAnsi="仿宋" w:cs="仿宋" w:hint="eastAsia"/>
          <w:kern w:val="0"/>
          <w:sz w:val="32"/>
          <w:szCs w:val="32"/>
        </w:rPr>
        <w:t>辆。与上年决算相比，增加</w:t>
      </w:r>
      <w:r>
        <w:rPr>
          <w:rFonts w:ascii="仿宋" w:eastAsia="仿宋" w:hAnsi="仿宋" w:cs="仿宋" w:hint="eastAsia"/>
          <w:kern w:val="0"/>
          <w:sz w:val="32"/>
          <w:szCs w:val="32"/>
          <w:u w:val="single"/>
        </w:rPr>
        <w:t xml:space="preserve"> 1.38</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22.12 </w:t>
      </w:r>
      <w:r>
        <w:rPr>
          <w:rFonts w:ascii="仿宋" w:eastAsia="仿宋" w:hAnsi="仿宋" w:cs="仿宋" w:hint="eastAsia"/>
          <w:kern w:val="0"/>
          <w:sz w:val="32"/>
          <w:szCs w:val="32"/>
        </w:rPr>
        <w:t>%，变动原因：2024年根据工作安排，出差次数增加，使用公务用车车次增加，费用增加。</w:t>
      </w:r>
    </w:p>
    <w:p w:rsidR="00CF2B20" w:rsidRDefault="00B24772">
      <w:pPr>
        <w:widowControl/>
        <w:spacing w:before="240" w:after="240"/>
        <w:rPr>
          <w:rFonts w:eastAsia="Times New Roman"/>
          <w:kern w:val="0"/>
          <w:sz w:val="24"/>
        </w:rPr>
      </w:pPr>
      <w:r>
        <w:rPr>
          <w:rFonts w:ascii="仿宋" w:eastAsia="仿宋" w:hAnsi="仿宋" w:cs="仿宋" w:hint="eastAsia"/>
          <w:kern w:val="0"/>
          <w:sz w:val="32"/>
          <w:szCs w:val="32"/>
        </w:rPr>
        <w:t>    3.公务接待费支出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万元。其中：国内公务接待支出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万元，接待</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批次，</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人次；国（境）外公务接待支出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万元，接待</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批次，</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人次。与上年决算相比，增加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0</w:t>
      </w:r>
      <w:r>
        <w:rPr>
          <w:rFonts w:ascii="仿宋" w:eastAsia="仿宋" w:hAnsi="仿宋" w:cs="仿宋" w:hint="eastAsia"/>
          <w:kern w:val="0"/>
          <w:sz w:val="32"/>
          <w:szCs w:val="32"/>
        </w:rPr>
        <w:t>%，变动原因：不存在此项内容。</w:t>
      </w:r>
    </w:p>
    <w:p w:rsidR="00CF2B20" w:rsidRDefault="00B24772">
      <w:pPr>
        <w:widowControl/>
        <w:spacing w:before="240" w:after="240"/>
        <w:ind w:left="420"/>
        <w:jc w:val="left"/>
        <w:rPr>
          <w:rFonts w:ascii="黑体" w:eastAsia="黑体" w:hAnsi="黑体" w:cs="黑体"/>
          <w:b/>
          <w:bCs/>
          <w:kern w:val="0"/>
          <w:sz w:val="32"/>
          <w:szCs w:val="32"/>
        </w:rPr>
      </w:pPr>
      <w:r>
        <w:rPr>
          <w:rFonts w:ascii="黑体" w:eastAsia="黑体" w:hAnsi="黑体" w:cs="黑体" w:hint="eastAsia"/>
          <w:b/>
          <w:bCs/>
          <w:kern w:val="0"/>
          <w:sz w:val="32"/>
          <w:szCs w:val="32"/>
        </w:rPr>
        <w:t>九、</w:t>
      </w:r>
      <w:r>
        <w:rPr>
          <w:rFonts w:ascii="黑体" w:eastAsia="黑体" w:hAnsi="黑体" w:cs="黑体"/>
          <w:b/>
          <w:bCs/>
          <w:kern w:val="0"/>
          <w:sz w:val="32"/>
          <w:szCs w:val="32"/>
        </w:rPr>
        <w:t>政府性基金预算财政拨款支出决算情况说明</w:t>
      </w:r>
    </w:p>
    <w:p w:rsidR="00CF2B20" w:rsidRDefault="00B24772">
      <w:pPr>
        <w:widowControl/>
        <w:spacing w:before="240" w:after="240"/>
        <w:ind w:firstLineChars="100" w:firstLine="320"/>
        <w:jc w:val="left"/>
        <w:rPr>
          <w:rFonts w:ascii="仿宋" w:eastAsia="仿宋" w:hAnsi="仿宋" w:cs="仿宋"/>
          <w:kern w:val="0"/>
          <w:sz w:val="32"/>
          <w:szCs w:val="32"/>
        </w:rPr>
      </w:pPr>
      <w:r>
        <w:rPr>
          <w:rFonts w:ascii="仿宋" w:eastAsia="仿宋" w:hAnsi="仿宋" w:cs="仿宋" w:hint="eastAsia"/>
          <w:kern w:val="0"/>
          <w:sz w:val="32"/>
          <w:szCs w:val="32"/>
        </w:rPr>
        <w:lastRenderedPageBreak/>
        <w:t xml:space="preserve"> 内蒙古自治区工业和信息化厅驻锡林郭勒盟无线电管理处 2024年度政府性基金预算财政拨款支出决算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0</w:t>
      </w:r>
      <w:r>
        <w:rPr>
          <w:rFonts w:ascii="仿宋" w:eastAsia="仿宋" w:hAnsi="仿宋" w:cs="仿宋" w:hint="eastAsia"/>
          <w:kern w:val="0"/>
          <w:sz w:val="32"/>
          <w:szCs w:val="32"/>
        </w:rPr>
        <w:t>%，变动原因：</w:t>
      </w:r>
      <w:r>
        <w:rPr>
          <w:rFonts w:ascii="仿宋" w:eastAsia="仿宋" w:hAnsi="仿宋" w:cs="仿宋" w:hint="eastAsia"/>
          <w:color w:val="000000"/>
          <w:kern w:val="0"/>
          <w:sz w:val="32"/>
          <w:szCs w:val="32"/>
        </w:rPr>
        <w:t>本单位无政府性基金预算财政拨款收、支、余</w:t>
      </w:r>
      <w:r>
        <w:rPr>
          <w:rFonts w:ascii="仿宋" w:eastAsia="仿宋" w:hAnsi="仿宋" w:cs="仿宋" w:hint="eastAsia"/>
          <w:kern w:val="0"/>
          <w:sz w:val="32"/>
          <w:szCs w:val="32"/>
        </w:rPr>
        <w:t>。</w:t>
      </w:r>
    </w:p>
    <w:p w:rsidR="00CF2B20" w:rsidRDefault="00B24772">
      <w:pPr>
        <w:widowControl/>
        <w:spacing w:before="240" w:after="240"/>
        <w:ind w:firstLineChars="100" w:firstLine="270"/>
        <w:jc w:val="left"/>
        <w:rPr>
          <w:rFonts w:eastAsia="Times New Roman"/>
          <w:kern w:val="0"/>
          <w:sz w:val="24"/>
        </w:rPr>
      </w:pPr>
      <w:r>
        <w:rPr>
          <w:rFonts w:ascii="fang_song_gb2312" w:eastAsia="fang_song_gb2312" w:hAnsi="fang_song_gb2312" w:cs="fang_song_gb2312"/>
          <w:color w:val="0E00FE"/>
          <w:kern w:val="0"/>
          <w:sz w:val="27"/>
          <w:szCs w:val="27"/>
        </w:rPr>
        <w:t xml:space="preserve">   </w:t>
      </w:r>
    </w:p>
    <w:p w:rsidR="00CF2B20" w:rsidRDefault="00B24772">
      <w:pPr>
        <w:widowControl/>
        <w:spacing w:before="240" w:after="240"/>
        <w:ind w:left="420"/>
        <w:jc w:val="left"/>
        <w:rPr>
          <w:rFonts w:ascii="黑体" w:eastAsia="黑体" w:hAnsi="黑体" w:cs="黑体"/>
          <w:b/>
          <w:bCs/>
          <w:kern w:val="0"/>
          <w:sz w:val="32"/>
          <w:szCs w:val="32"/>
        </w:rPr>
      </w:pPr>
      <w:r>
        <w:rPr>
          <w:rFonts w:ascii="黑体" w:eastAsia="黑体" w:hAnsi="黑体" w:cs="黑体" w:hint="eastAsia"/>
          <w:b/>
          <w:bCs/>
          <w:kern w:val="0"/>
          <w:sz w:val="32"/>
          <w:szCs w:val="32"/>
        </w:rPr>
        <w:t>十、</w:t>
      </w:r>
      <w:r>
        <w:rPr>
          <w:rFonts w:ascii="黑体" w:eastAsia="黑体" w:hAnsi="黑体" w:cs="黑体"/>
          <w:b/>
          <w:bCs/>
          <w:kern w:val="0"/>
          <w:sz w:val="32"/>
          <w:szCs w:val="32"/>
        </w:rPr>
        <w:t>国有资本经营预算财政拨款支出决算情况说明</w:t>
      </w:r>
    </w:p>
    <w:p w:rsidR="00CF2B20" w:rsidRDefault="00B24772">
      <w:pPr>
        <w:widowControl/>
        <w:spacing w:before="240" w:after="240"/>
        <w:ind w:firstLine="510"/>
        <w:rPr>
          <w:rFonts w:ascii="仿宋" w:eastAsia="仿宋" w:hAnsi="仿宋" w:cs="仿宋"/>
          <w:kern w:val="0"/>
          <w:sz w:val="32"/>
          <w:szCs w:val="32"/>
        </w:rPr>
      </w:pPr>
      <w:r>
        <w:rPr>
          <w:rFonts w:ascii="仿宋" w:eastAsia="仿宋" w:hAnsi="仿宋" w:cs="仿宋" w:hint="eastAsia"/>
          <w:kern w:val="0"/>
          <w:sz w:val="32"/>
          <w:szCs w:val="32"/>
        </w:rPr>
        <w:t>内蒙古自治区工业和信息化厅驻锡林郭勒盟无线电管理处 2024年度国有资本经营预算财政拨款支出决算</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万元。与上年决算相比，增加</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 xml:space="preserve"> 0 </w:t>
      </w:r>
      <w:r>
        <w:rPr>
          <w:rFonts w:ascii="仿宋" w:eastAsia="仿宋" w:hAnsi="仿宋" w:cs="仿宋" w:hint="eastAsia"/>
          <w:kern w:val="0"/>
          <w:sz w:val="32"/>
          <w:szCs w:val="32"/>
        </w:rPr>
        <w:t>%，变动原因：</w:t>
      </w:r>
      <w:r>
        <w:rPr>
          <w:rFonts w:ascii="仿宋" w:eastAsia="仿宋" w:hAnsi="仿宋" w:cs="仿宋" w:hint="eastAsia"/>
          <w:color w:val="000000"/>
          <w:kern w:val="0"/>
          <w:sz w:val="32"/>
          <w:szCs w:val="32"/>
        </w:rPr>
        <w:t>本单位无国有资本经营预算财政拨款收、支、余</w:t>
      </w:r>
      <w:r>
        <w:rPr>
          <w:rFonts w:ascii="仿宋" w:eastAsia="仿宋" w:hAnsi="仿宋" w:cs="仿宋" w:hint="eastAsia"/>
          <w:kern w:val="0"/>
          <w:sz w:val="32"/>
          <w:szCs w:val="32"/>
        </w:rPr>
        <w:t>。</w:t>
      </w:r>
    </w:p>
    <w:p w:rsidR="00CF2B20" w:rsidRDefault="00CF2B20">
      <w:pPr>
        <w:pStyle w:val="a0"/>
        <w:jc w:val="both"/>
      </w:pPr>
    </w:p>
    <w:p w:rsidR="00CF2B20" w:rsidRDefault="00B24772">
      <w:pPr>
        <w:widowControl/>
        <w:spacing w:before="240" w:after="240"/>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32"/>
          <w:szCs w:val="32"/>
        </w:rPr>
        <w:t xml:space="preserve"> 十一、机构运行经费支出决算情况说明</w:t>
      </w:r>
    </w:p>
    <w:p w:rsidR="00CF2B20" w:rsidRDefault="00B24772">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内蒙古自治区工业和信息化厅驻锡林郭勒盟无线电管理处 2024年度机构运行经费支出决算</w:t>
      </w:r>
      <w:r>
        <w:rPr>
          <w:rFonts w:ascii="仿宋" w:eastAsia="仿宋" w:hAnsi="仿宋" w:cs="仿宋" w:hint="eastAsia"/>
          <w:kern w:val="0"/>
          <w:sz w:val="32"/>
          <w:szCs w:val="32"/>
          <w:u w:val="single"/>
        </w:rPr>
        <w:t xml:space="preserve"> 5.75</w:t>
      </w:r>
      <w:r>
        <w:rPr>
          <w:rFonts w:ascii="仿宋" w:eastAsia="仿宋" w:hAnsi="仿宋" w:cs="仿宋" w:hint="eastAsia"/>
          <w:kern w:val="0"/>
          <w:sz w:val="32"/>
          <w:szCs w:val="32"/>
        </w:rPr>
        <w:t>万元。比上年决算相比，增加</w:t>
      </w:r>
      <w:r>
        <w:rPr>
          <w:rFonts w:ascii="仿宋" w:eastAsia="仿宋" w:hAnsi="仿宋" w:cs="仿宋" w:hint="eastAsia"/>
          <w:kern w:val="0"/>
          <w:sz w:val="32"/>
          <w:szCs w:val="32"/>
          <w:u w:val="single"/>
        </w:rPr>
        <w:t>0.24</w:t>
      </w:r>
      <w:r>
        <w:rPr>
          <w:rFonts w:ascii="仿宋" w:eastAsia="仿宋" w:hAnsi="仿宋" w:cs="仿宋" w:hint="eastAsia"/>
          <w:kern w:val="0"/>
          <w:sz w:val="32"/>
          <w:szCs w:val="32"/>
        </w:rPr>
        <w:t>万元，增长</w:t>
      </w:r>
      <w:r>
        <w:rPr>
          <w:rFonts w:ascii="仿宋" w:eastAsia="仿宋" w:hAnsi="仿宋" w:cs="仿宋" w:hint="eastAsia"/>
          <w:kern w:val="0"/>
          <w:sz w:val="32"/>
          <w:szCs w:val="32"/>
          <w:u w:val="single"/>
        </w:rPr>
        <w:t>4.43</w:t>
      </w:r>
      <w:r>
        <w:rPr>
          <w:rFonts w:ascii="仿宋" w:eastAsia="仿宋" w:hAnsi="仿宋" w:cs="仿宋" w:hint="eastAsia"/>
          <w:kern w:val="0"/>
          <w:sz w:val="32"/>
          <w:szCs w:val="32"/>
        </w:rPr>
        <w:t>%，变动原因：人员工资基数增加，福利费和工会经费增加。</w:t>
      </w:r>
    </w:p>
    <w:p w:rsidR="00CF2B20" w:rsidRDefault="00CF2B20">
      <w:pPr>
        <w:widowControl/>
        <w:spacing w:before="240" w:after="240"/>
        <w:rPr>
          <w:rFonts w:eastAsia="Times New Roman"/>
          <w:kern w:val="0"/>
          <w:sz w:val="24"/>
        </w:rPr>
      </w:pPr>
    </w:p>
    <w:p w:rsidR="00CF2B20" w:rsidRDefault="00B24772">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32"/>
          <w:szCs w:val="32"/>
        </w:rPr>
        <w:t>十二、政府采购支出决算情况说明</w:t>
      </w:r>
    </w:p>
    <w:p w:rsidR="00CF2B20" w:rsidRDefault="00B24772">
      <w:pPr>
        <w:widowControl/>
        <w:spacing w:before="240" w:after="240"/>
        <w:rPr>
          <w:rFonts w:eastAsia="Times New Roman"/>
          <w:kern w:val="0"/>
          <w:sz w:val="24"/>
        </w:rPr>
      </w:pPr>
      <w:r>
        <w:rPr>
          <w:rFonts w:ascii="fang_song_gb2312" w:eastAsia="fang_song_gb2312" w:hAnsi="fang_song_gb2312" w:cs="fang_song_gb2312"/>
          <w:kern w:val="0"/>
          <w:sz w:val="27"/>
          <w:szCs w:val="27"/>
        </w:rPr>
        <w:t>   </w:t>
      </w:r>
      <w:r>
        <w:rPr>
          <w:rFonts w:ascii="仿宋" w:eastAsia="仿宋" w:hAnsi="仿宋" w:cs="仿宋" w:hint="eastAsia"/>
          <w:kern w:val="0"/>
          <w:sz w:val="32"/>
          <w:szCs w:val="32"/>
        </w:rPr>
        <w:t xml:space="preserve"> 内蒙古自治区工业和信息化厅驻锡林郭勒盟无线电管理处 2024年度政府采购支出总额</w:t>
      </w:r>
      <w:r>
        <w:rPr>
          <w:rFonts w:ascii="仿宋" w:eastAsia="仿宋" w:hAnsi="仿宋" w:cs="仿宋" w:hint="eastAsia"/>
          <w:kern w:val="0"/>
          <w:sz w:val="32"/>
          <w:szCs w:val="32"/>
          <w:u w:val="single"/>
        </w:rPr>
        <w:t xml:space="preserve"> 13.18</w:t>
      </w:r>
      <w:r>
        <w:rPr>
          <w:rFonts w:ascii="仿宋" w:eastAsia="仿宋" w:hAnsi="仿宋" w:cs="仿宋" w:hint="eastAsia"/>
          <w:kern w:val="0"/>
          <w:sz w:val="32"/>
          <w:szCs w:val="32"/>
        </w:rPr>
        <w:t>万元，其中：政府采购货物支出</w:t>
      </w:r>
      <w:r>
        <w:rPr>
          <w:rFonts w:ascii="仿宋" w:eastAsia="仿宋" w:hAnsi="仿宋" w:cs="仿宋" w:hint="eastAsia"/>
          <w:kern w:val="0"/>
          <w:sz w:val="32"/>
          <w:szCs w:val="32"/>
          <w:u w:val="single"/>
        </w:rPr>
        <w:t xml:space="preserve"> 3.50</w:t>
      </w:r>
      <w:r>
        <w:rPr>
          <w:rFonts w:ascii="仿宋" w:eastAsia="仿宋" w:hAnsi="仿宋" w:cs="仿宋" w:hint="eastAsia"/>
          <w:kern w:val="0"/>
          <w:sz w:val="32"/>
          <w:szCs w:val="32"/>
        </w:rPr>
        <w:t>万</w:t>
      </w:r>
      <w:r>
        <w:rPr>
          <w:rFonts w:ascii="仿宋" w:eastAsia="仿宋" w:hAnsi="仿宋" w:cs="仿宋" w:hint="eastAsia"/>
          <w:kern w:val="0"/>
          <w:sz w:val="32"/>
          <w:szCs w:val="32"/>
        </w:rPr>
        <w:lastRenderedPageBreak/>
        <w:t>元、政府采购工程支出</w:t>
      </w:r>
      <w:r>
        <w:rPr>
          <w:rFonts w:ascii="仿宋" w:eastAsia="仿宋" w:hAnsi="仿宋" w:cs="仿宋" w:hint="eastAsia"/>
          <w:kern w:val="0"/>
          <w:sz w:val="32"/>
          <w:szCs w:val="32"/>
          <w:u w:val="single"/>
        </w:rPr>
        <w:t xml:space="preserve"> 0.00</w:t>
      </w:r>
      <w:r>
        <w:rPr>
          <w:rFonts w:ascii="仿宋" w:eastAsia="仿宋" w:hAnsi="仿宋" w:cs="仿宋" w:hint="eastAsia"/>
          <w:kern w:val="0"/>
          <w:sz w:val="32"/>
          <w:szCs w:val="32"/>
        </w:rPr>
        <w:t>万元、政府采购服务支出</w:t>
      </w:r>
      <w:r>
        <w:rPr>
          <w:rFonts w:ascii="仿宋" w:eastAsia="仿宋" w:hAnsi="仿宋" w:cs="仿宋" w:hint="eastAsia"/>
          <w:kern w:val="0"/>
          <w:sz w:val="32"/>
          <w:szCs w:val="32"/>
          <w:u w:val="single"/>
        </w:rPr>
        <w:t xml:space="preserve"> 9.68</w:t>
      </w:r>
      <w:r>
        <w:rPr>
          <w:rFonts w:ascii="仿宋" w:eastAsia="仿宋" w:hAnsi="仿宋" w:cs="仿宋" w:hint="eastAsia"/>
          <w:kern w:val="0"/>
          <w:sz w:val="32"/>
          <w:szCs w:val="32"/>
        </w:rPr>
        <w:t>万元。政府采购授予中小企业合同金额</w:t>
      </w:r>
      <w:r>
        <w:rPr>
          <w:rFonts w:ascii="仿宋" w:eastAsia="仿宋" w:hAnsi="仿宋" w:cs="仿宋" w:hint="eastAsia"/>
          <w:kern w:val="0"/>
          <w:sz w:val="32"/>
          <w:szCs w:val="32"/>
          <w:u w:val="single"/>
        </w:rPr>
        <w:t xml:space="preserve"> 8.34</w:t>
      </w:r>
      <w:r>
        <w:rPr>
          <w:rFonts w:ascii="仿宋" w:eastAsia="仿宋" w:hAnsi="仿宋" w:cs="仿宋" w:hint="eastAsia"/>
          <w:kern w:val="0"/>
          <w:sz w:val="32"/>
          <w:szCs w:val="32"/>
        </w:rPr>
        <w:t>万元，占政府采购支出总额的</w:t>
      </w:r>
      <w:r>
        <w:rPr>
          <w:rFonts w:ascii="仿宋" w:eastAsia="仿宋" w:hAnsi="仿宋" w:cs="仿宋" w:hint="eastAsia"/>
          <w:kern w:val="0"/>
          <w:sz w:val="32"/>
          <w:szCs w:val="32"/>
          <w:u w:val="single"/>
        </w:rPr>
        <w:t>63.28</w:t>
      </w:r>
      <w:r>
        <w:rPr>
          <w:rFonts w:ascii="仿宋" w:eastAsia="仿宋" w:hAnsi="仿宋" w:cs="仿宋" w:hint="eastAsia"/>
          <w:kern w:val="0"/>
          <w:sz w:val="32"/>
          <w:szCs w:val="32"/>
        </w:rPr>
        <w:t>%，其中：授予小</w:t>
      </w:r>
      <w:proofErr w:type="gramStart"/>
      <w:r>
        <w:rPr>
          <w:rFonts w:ascii="仿宋" w:eastAsia="仿宋" w:hAnsi="仿宋" w:cs="仿宋" w:hint="eastAsia"/>
          <w:kern w:val="0"/>
          <w:sz w:val="32"/>
          <w:szCs w:val="32"/>
        </w:rPr>
        <w:t>微企业</w:t>
      </w:r>
      <w:proofErr w:type="gramEnd"/>
      <w:r>
        <w:rPr>
          <w:rFonts w:ascii="仿宋" w:eastAsia="仿宋" w:hAnsi="仿宋" w:cs="仿宋" w:hint="eastAsia"/>
          <w:kern w:val="0"/>
          <w:sz w:val="32"/>
          <w:szCs w:val="32"/>
        </w:rPr>
        <w:t>合同金额</w:t>
      </w:r>
      <w:r>
        <w:rPr>
          <w:rFonts w:ascii="仿宋" w:eastAsia="仿宋" w:hAnsi="仿宋" w:cs="仿宋" w:hint="eastAsia"/>
          <w:kern w:val="0"/>
          <w:sz w:val="32"/>
          <w:szCs w:val="32"/>
          <w:u w:val="single"/>
        </w:rPr>
        <w:t>8.34</w:t>
      </w:r>
      <w:r>
        <w:rPr>
          <w:rFonts w:ascii="仿宋" w:eastAsia="仿宋" w:hAnsi="仿宋" w:cs="仿宋" w:hint="eastAsia"/>
          <w:kern w:val="0"/>
          <w:sz w:val="32"/>
          <w:szCs w:val="32"/>
        </w:rPr>
        <w:t>万元，占政府采购支出总额的</w:t>
      </w:r>
      <w:r>
        <w:rPr>
          <w:rFonts w:ascii="仿宋" w:eastAsia="仿宋" w:hAnsi="仿宋" w:cs="仿宋" w:hint="eastAsia"/>
          <w:kern w:val="0"/>
          <w:sz w:val="32"/>
          <w:szCs w:val="32"/>
          <w:u w:val="single"/>
        </w:rPr>
        <w:t>63.28</w:t>
      </w:r>
      <w:r>
        <w:rPr>
          <w:rFonts w:ascii="仿宋" w:eastAsia="仿宋" w:hAnsi="仿宋" w:cs="仿宋" w:hint="eastAsia"/>
          <w:kern w:val="0"/>
          <w:sz w:val="32"/>
          <w:szCs w:val="32"/>
        </w:rPr>
        <w:t>%；货物采购授予中小企业合同金额占货物支出金额的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%，工程采购授予中小企业合同金额占工程支出金额的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%，服务采购授予中小企业合同金额占服务支出金额的</w:t>
      </w:r>
      <w:r>
        <w:rPr>
          <w:rFonts w:ascii="仿宋" w:eastAsia="仿宋" w:hAnsi="仿宋" w:cs="仿宋" w:hint="eastAsia"/>
          <w:kern w:val="0"/>
          <w:sz w:val="32"/>
          <w:szCs w:val="32"/>
          <w:u w:val="single"/>
        </w:rPr>
        <w:t>0</w:t>
      </w:r>
      <w:r>
        <w:rPr>
          <w:rFonts w:ascii="仿宋" w:eastAsia="仿宋" w:hAnsi="仿宋" w:cs="仿宋" w:hint="eastAsia"/>
          <w:kern w:val="0"/>
          <w:sz w:val="32"/>
          <w:szCs w:val="32"/>
        </w:rPr>
        <w:t>%。</w:t>
      </w:r>
    </w:p>
    <w:p w:rsidR="00CF2B20" w:rsidRDefault="00B24772">
      <w:pPr>
        <w:widowControl/>
        <w:spacing w:before="240" w:after="240"/>
        <w:jc w:val="left"/>
        <w:rPr>
          <w:rFonts w:eastAsia="Times New Roman"/>
          <w:kern w:val="0"/>
          <w:sz w:val="32"/>
          <w:szCs w:val="32"/>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32"/>
          <w:szCs w:val="32"/>
        </w:rPr>
        <w:t> </w:t>
      </w:r>
      <w:r>
        <w:rPr>
          <w:rFonts w:ascii="黑体" w:eastAsia="黑体" w:hAnsi="黑体" w:cs="黑体"/>
          <w:b/>
          <w:bCs/>
          <w:kern w:val="0"/>
          <w:sz w:val="32"/>
          <w:szCs w:val="32"/>
        </w:rPr>
        <w:t xml:space="preserve"> 十三、国有资产占用情况说明</w:t>
      </w:r>
    </w:p>
    <w:p w:rsidR="00CF2B20" w:rsidRDefault="00B24772">
      <w:pPr>
        <w:widowControl/>
        <w:spacing w:before="240" w:after="240"/>
        <w:rPr>
          <w:rFonts w:eastAsia="Times New Roman"/>
          <w:kern w:val="0"/>
          <w:sz w:val="24"/>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内蒙古自治区工业和信息化厅驻锡林郭勒盟无线电管理处截至2024年12月31日，本单位共有车辆</w:t>
      </w:r>
      <w:r>
        <w:rPr>
          <w:rFonts w:ascii="仿宋" w:eastAsia="仿宋" w:hAnsi="仿宋" w:cs="仿宋" w:hint="eastAsia"/>
          <w:kern w:val="0"/>
          <w:sz w:val="32"/>
          <w:szCs w:val="32"/>
          <w:u w:val="single"/>
        </w:rPr>
        <w:t xml:space="preserve"> 5</w:t>
      </w:r>
      <w:r>
        <w:rPr>
          <w:rFonts w:ascii="仿宋" w:eastAsia="仿宋" w:hAnsi="仿宋" w:cs="仿宋" w:hint="eastAsia"/>
          <w:kern w:val="0"/>
          <w:sz w:val="32"/>
          <w:szCs w:val="32"/>
        </w:rPr>
        <w:t>辆，其中：副部（省）级及以上领导用车</w:t>
      </w:r>
      <w:r>
        <w:rPr>
          <w:rFonts w:ascii="仿宋" w:eastAsia="仿宋" w:hAnsi="仿宋" w:cs="仿宋" w:hint="eastAsia"/>
          <w:kern w:val="0"/>
          <w:sz w:val="32"/>
          <w:szCs w:val="32"/>
          <w:u w:val="single"/>
        </w:rPr>
        <w:t xml:space="preserve">0 </w:t>
      </w:r>
      <w:r>
        <w:rPr>
          <w:rFonts w:ascii="仿宋" w:eastAsia="仿宋" w:hAnsi="仿宋" w:cs="仿宋" w:hint="eastAsia"/>
          <w:kern w:val="0"/>
          <w:sz w:val="32"/>
          <w:szCs w:val="32"/>
        </w:rPr>
        <w:t>辆、主要负责人用车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辆、机要通信用车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辆、应急保障用车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辆、执法执勤用车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辆、特种专业技术用车</w:t>
      </w:r>
      <w:r>
        <w:rPr>
          <w:rFonts w:ascii="仿宋" w:eastAsia="仿宋" w:hAnsi="仿宋" w:cs="仿宋" w:hint="eastAsia"/>
          <w:kern w:val="0"/>
          <w:sz w:val="32"/>
          <w:szCs w:val="32"/>
          <w:u w:val="single"/>
        </w:rPr>
        <w:t xml:space="preserve"> 5</w:t>
      </w:r>
      <w:r>
        <w:rPr>
          <w:rFonts w:ascii="仿宋" w:eastAsia="仿宋" w:hAnsi="仿宋" w:cs="仿宋" w:hint="eastAsia"/>
          <w:kern w:val="0"/>
          <w:sz w:val="32"/>
          <w:szCs w:val="32"/>
        </w:rPr>
        <w:t>辆、离退休干部服务用车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辆，其他用车</w:t>
      </w:r>
      <w:r>
        <w:rPr>
          <w:rFonts w:ascii="仿宋" w:eastAsia="仿宋" w:hAnsi="仿宋" w:cs="仿宋" w:hint="eastAsia"/>
          <w:kern w:val="0"/>
          <w:sz w:val="32"/>
          <w:szCs w:val="32"/>
          <w:u w:val="single"/>
        </w:rPr>
        <w:t xml:space="preserve"> 0</w:t>
      </w:r>
      <w:r>
        <w:rPr>
          <w:rFonts w:ascii="仿宋" w:eastAsia="仿宋" w:hAnsi="仿宋" w:cs="仿宋" w:hint="eastAsia"/>
          <w:kern w:val="0"/>
          <w:sz w:val="32"/>
          <w:szCs w:val="32"/>
        </w:rPr>
        <w:t>辆；单价100万元（含）以上的设备（不含车辆）</w:t>
      </w:r>
      <w:r>
        <w:rPr>
          <w:rFonts w:ascii="仿宋" w:eastAsia="仿宋" w:hAnsi="仿宋" w:cs="仿宋" w:hint="eastAsia"/>
          <w:kern w:val="0"/>
          <w:sz w:val="32"/>
          <w:szCs w:val="32"/>
          <w:u w:val="single"/>
        </w:rPr>
        <w:t xml:space="preserve"> 9</w:t>
      </w:r>
      <w:r>
        <w:rPr>
          <w:rFonts w:ascii="仿宋" w:eastAsia="仿宋" w:hAnsi="仿宋" w:cs="仿宋" w:hint="eastAsia"/>
          <w:kern w:val="0"/>
          <w:sz w:val="32"/>
          <w:szCs w:val="32"/>
        </w:rPr>
        <w:t>台（套）。</w:t>
      </w:r>
    </w:p>
    <w:p w:rsidR="00CF2B20" w:rsidRDefault="00CF2B20">
      <w:pPr>
        <w:widowControl/>
        <w:spacing w:before="240" w:after="240"/>
        <w:rPr>
          <w:rFonts w:eastAsia="Times New Roman"/>
          <w:kern w:val="0"/>
          <w:sz w:val="24"/>
        </w:rPr>
      </w:pPr>
    </w:p>
    <w:p w:rsidR="00CF2B20" w:rsidRDefault="00B24772">
      <w:pPr>
        <w:widowControl/>
        <w:numPr>
          <w:ilvl w:val="0"/>
          <w:numId w:val="2"/>
        </w:numPr>
        <w:spacing w:before="240" w:after="240"/>
        <w:jc w:val="left"/>
        <w:rPr>
          <w:rFonts w:ascii="黑体" w:eastAsia="黑体" w:hAnsi="黑体" w:cs="黑体"/>
          <w:b/>
          <w:bCs/>
          <w:kern w:val="0"/>
          <w:sz w:val="32"/>
          <w:szCs w:val="32"/>
        </w:rPr>
      </w:pPr>
      <w:r>
        <w:rPr>
          <w:rFonts w:ascii="黑体" w:eastAsia="黑体" w:hAnsi="黑体" w:cs="黑体"/>
          <w:b/>
          <w:bCs/>
          <w:kern w:val="0"/>
          <w:sz w:val="32"/>
          <w:szCs w:val="32"/>
        </w:rPr>
        <w:t>预算绩效情况说明</w:t>
      </w:r>
    </w:p>
    <w:p w:rsidR="00CF2B20" w:rsidRDefault="00CF2B20">
      <w:pPr>
        <w:pStyle w:val="a0"/>
        <w:jc w:val="both"/>
      </w:pPr>
    </w:p>
    <w:p w:rsidR="00CF2B20" w:rsidRDefault="00B24772">
      <w:pPr>
        <w:widowControl/>
        <w:spacing w:before="240" w:after="240"/>
        <w:jc w:val="left"/>
        <w:rPr>
          <w:rFonts w:ascii="仿宋" w:eastAsia="仿宋" w:hAnsi="仿宋" w:cs="仿宋"/>
          <w:kern w:val="0"/>
          <w:sz w:val="32"/>
          <w:szCs w:val="32"/>
        </w:rPr>
      </w:pPr>
      <w:r>
        <w:rPr>
          <w:rFonts w:ascii="kai_ti_gb2312" w:eastAsia="kai_ti_gb2312" w:hAnsi="kai_ti_gb2312" w:cs="kai_ti_gb2312"/>
          <w:b/>
          <w:bCs/>
          <w:kern w:val="0"/>
          <w:sz w:val="27"/>
          <w:szCs w:val="27"/>
        </w:rPr>
        <w:t xml:space="preserve">    </w:t>
      </w:r>
      <w:r>
        <w:rPr>
          <w:rFonts w:ascii="仿宋" w:eastAsia="仿宋" w:hAnsi="仿宋" w:cs="仿宋" w:hint="eastAsia"/>
          <w:b/>
          <w:bCs/>
          <w:kern w:val="0"/>
          <w:sz w:val="32"/>
          <w:szCs w:val="32"/>
        </w:rPr>
        <w:t>（一）预算绩效管理工作开展情况。</w:t>
      </w:r>
    </w:p>
    <w:p w:rsidR="00CF2B20" w:rsidRDefault="00B24772">
      <w:pPr>
        <w:widowControl/>
        <w:spacing w:before="240" w:after="240"/>
        <w:ind w:firstLine="534"/>
        <w:rPr>
          <w:rFonts w:ascii="仿宋" w:eastAsia="仿宋" w:hAnsi="仿宋" w:cs="仿宋"/>
          <w:kern w:val="0"/>
          <w:sz w:val="32"/>
          <w:szCs w:val="32"/>
        </w:rPr>
      </w:pPr>
      <w:r>
        <w:rPr>
          <w:rFonts w:ascii="仿宋" w:eastAsia="仿宋" w:hAnsi="仿宋" w:cs="仿宋" w:hint="eastAsia"/>
          <w:kern w:val="0"/>
          <w:sz w:val="32"/>
          <w:szCs w:val="32"/>
        </w:rPr>
        <w:t>内蒙古自治区工业和信息化厅驻锡林郭勒盟无线电管理处根据预算绩效管理要求组织对2024年一般公共预算项目支出全面开展绩效自评，其中</w:t>
      </w:r>
      <w:proofErr w:type="gramStart"/>
      <w:r>
        <w:rPr>
          <w:rFonts w:ascii="仿宋" w:eastAsia="仿宋" w:hAnsi="仿宋" w:cs="仿宋" w:hint="eastAsia"/>
          <w:kern w:val="0"/>
          <w:sz w:val="32"/>
          <w:szCs w:val="32"/>
        </w:rPr>
        <w:t>一级项目</w:t>
      </w:r>
      <w:proofErr w:type="gramEnd"/>
      <w:r>
        <w:rPr>
          <w:rFonts w:ascii="仿宋" w:eastAsia="仿宋" w:hAnsi="仿宋" w:cs="仿宋" w:hint="eastAsia"/>
          <w:kern w:val="0"/>
          <w:sz w:val="32"/>
          <w:szCs w:val="32"/>
          <w:u w:val="single"/>
        </w:rPr>
        <w:t>0</w:t>
      </w:r>
      <w:r>
        <w:rPr>
          <w:rFonts w:ascii="仿宋" w:eastAsia="仿宋" w:hAnsi="仿宋" w:cs="仿宋" w:hint="eastAsia"/>
          <w:kern w:val="0"/>
          <w:sz w:val="32"/>
          <w:szCs w:val="32"/>
        </w:rPr>
        <w:t>个，二级项目</w:t>
      </w:r>
      <w:r>
        <w:rPr>
          <w:rFonts w:ascii="仿宋" w:eastAsia="仿宋" w:hAnsi="仿宋" w:cs="仿宋" w:hint="eastAsia"/>
          <w:kern w:val="0"/>
          <w:sz w:val="32"/>
          <w:szCs w:val="32"/>
          <w:u w:val="single"/>
        </w:rPr>
        <w:t>2</w:t>
      </w:r>
      <w:r>
        <w:rPr>
          <w:rFonts w:ascii="仿宋" w:eastAsia="仿宋" w:hAnsi="仿宋" w:cs="仿宋" w:hint="eastAsia"/>
          <w:kern w:val="0"/>
          <w:sz w:val="32"/>
          <w:szCs w:val="32"/>
        </w:rPr>
        <w:t>个，共涉及资金</w:t>
      </w:r>
      <w:r>
        <w:rPr>
          <w:rFonts w:ascii="仿宋" w:eastAsia="仿宋" w:hAnsi="仿宋" w:cs="仿宋" w:hint="eastAsia"/>
          <w:kern w:val="0"/>
          <w:sz w:val="32"/>
          <w:szCs w:val="32"/>
          <w:u w:val="single"/>
        </w:rPr>
        <w:t>175.55</w:t>
      </w:r>
      <w:r>
        <w:rPr>
          <w:rFonts w:ascii="仿宋" w:eastAsia="仿宋" w:hAnsi="仿宋" w:cs="仿宋" w:hint="eastAsia"/>
          <w:kern w:val="0"/>
          <w:sz w:val="32"/>
          <w:szCs w:val="32"/>
        </w:rPr>
        <w:t>万元，占</w:t>
      </w:r>
      <w:r>
        <w:rPr>
          <w:rFonts w:ascii="仿宋" w:eastAsia="仿宋" w:hAnsi="仿宋" w:cs="仿宋" w:hint="eastAsia"/>
          <w:kern w:val="0"/>
          <w:sz w:val="32"/>
          <w:szCs w:val="32"/>
        </w:rPr>
        <w:lastRenderedPageBreak/>
        <w:t>一般公共预算项目支出总额的100%；政府性基金预算项目</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个，其中，</w:t>
      </w:r>
      <w:proofErr w:type="gramStart"/>
      <w:r>
        <w:rPr>
          <w:rFonts w:ascii="仿宋" w:eastAsia="仿宋" w:hAnsi="仿宋" w:cs="仿宋" w:hint="eastAsia"/>
          <w:kern w:val="0"/>
          <w:sz w:val="32"/>
          <w:szCs w:val="32"/>
        </w:rPr>
        <w:t>一级项目</w:t>
      </w:r>
      <w:proofErr w:type="gramEnd"/>
      <w:r>
        <w:rPr>
          <w:rFonts w:ascii="仿宋" w:eastAsia="仿宋" w:hAnsi="仿宋" w:cs="仿宋" w:hint="eastAsia"/>
          <w:kern w:val="0"/>
          <w:sz w:val="32"/>
          <w:szCs w:val="32"/>
          <w:u w:val="single"/>
        </w:rPr>
        <w:t>0</w:t>
      </w:r>
      <w:r>
        <w:rPr>
          <w:rFonts w:ascii="仿宋" w:eastAsia="仿宋" w:hAnsi="仿宋" w:cs="仿宋" w:hint="eastAsia"/>
          <w:kern w:val="0"/>
          <w:sz w:val="32"/>
          <w:szCs w:val="32"/>
        </w:rPr>
        <w:t>个，二级项目</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个，共涉及资金</w:t>
      </w:r>
      <w:r>
        <w:rPr>
          <w:rFonts w:ascii="仿宋" w:eastAsia="仿宋" w:hAnsi="仿宋" w:cs="仿宋" w:hint="eastAsia"/>
          <w:kern w:val="0"/>
          <w:sz w:val="32"/>
          <w:szCs w:val="32"/>
          <w:u w:val="single"/>
        </w:rPr>
        <w:t>0</w:t>
      </w:r>
      <w:r>
        <w:rPr>
          <w:rFonts w:ascii="仿宋" w:eastAsia="仿宋" w:hAnsi="仿宋" w:cs="仿宋" w:hint="eastAsia"/>
          <w:kern w:val="0"/>
          <w:sz w:val="32"/>
          <w:szCs w:val="32"/>
        </w:rPr>
        <w:t>万元。</w:t>
      </w:r>
    </w:p>
    <w:p w:rsidR="00CF2B20" w:rsidRDefault="00B24772">
      <w:pPr>
        <w:widowControl/>
        <w:spacing w:beforeAutospacing="1" w:afterAutospacing="1" w:line="560" w:lineRule="atLeast"/>
        <w:ind w:firstLine="640"/>
        <w:rPr>
          <w:rFonts w:ascii="仿宋" w:eastAsia="仿宋" w:hAnsi="仿宋" w:cs="仿宋"/>
          <w:kern w:val="0"/>
          <w:sz w:val="32"/>
          <w:szCs w:val="32"/>
        </w:rPr>
      </w:pPr>
      <w:r>
        <w:rPr>
          <w:rFonts w:ascii="仿宋" w:eastAsia="仿宋" w:hAnsi="仿宋" w:cs="仿宋" w:hint="eastAsia"/>
          <w:kern w:val="0"/>
          <w:sz w:val="32"/>
          <w:szCs w:val="32"/>
        </w:rPr>
        <w:t>组织对无线电监管项目和无线电监管（中央对下转移支付）</w:t>
      </w:r>
      <w:r>
        <w:rPr>
          <w:rFonts w:ascii="仿宋" w:eastAsia="仿宋" w:hAnsi="仿宋" w:cs="仿宋" w:hint="eastAsia"/>
          <w:kern w:val="0"/>
          <w:sz w:val="32"/>
          <w:szCs w:val="32"/>
          <w:u w:val="single"/>
        </w:rPr>
        <w:t>2  </w:t>
      </w:r>
      <w:proofErr w:type="gramStart"/>
      <w:r>
        <w:rPr>
          <w:rFonts w:ascii="仿宋" w:eastAsia="仿宋" w:hAnsi="仿宋" w:cs="仿宋" w:hint="eastAsia"/>
          <w:kern w:val="0"/>
          <w:sz w:val="32"/>
          <w:szCs w:val="32"/>
        </w:rPr>
        <w:t>个</w:t>
      </w:r>
      <w:proofErr w:type="gramEnd"/>
      <w:r>
        <w:rPr>
          <w:rFonts w:ascii="仿宋" w:eastAsia="仿宋" w:hAnsi="仿宋" w:cs="仿宋" w:hint="eastAsia"/>
          <w:kern w:val="0"/>
          <w:sz w:val="32"/>
          <w:szCs w:val="32"/>
        </w:rPr>
        <w:t>项目开展了单位评价，涉及一般公共预算支出</w:t>
      </w:r>
      <w:r>
        <w:rPr>
          <w:rFonts w:ascii="仿宋" w:eastAsia="仿宋" w:hAnsi="仿宋" w:cs="仿宋" w:hint="eastAsia"/>
          <w:kern w:val="0"/>
          <w:sz w:val="32"/>
          <w:szCs w:val="32"/>
          <w:u w:val="single"/>
        </w:rPr>
        <w:t>175.55</w:t>
      </w:r>
      <w:r>
        <w:rPr>
          <w:rFonts w:ascii="仿宋" w:eastAsia="仿宋" w:hAnsi="仿宋" w:cs="仿宋" w:hint="eastAsia"/>
          <w:kern w:val="0"/>
          <w:sz w:val="32"/>
          <w:szCs w:val="32"/>
        </w:rPr>
        <w:t>万元，政府性基金支出</w:t>
      </w:r>
      <w:r>
        <w:rPr>
          <w:rFonts w:ascii="仿宋" w:eastAsia="仿宋" w:hAnsi="仿宋" w:cs="仿宋" w:hint="eastAsia"/>
          <w:kern w:val="0"/>
          <w:sz w:val="32"/>
          <w:szCs w:val="32"/>
          <w:u w:val="single"/>
        </w:rPr>
        <w:t>0</w:t>
      </w:r>
      <w:r>
        <w:rPr>
          <w:rFonts w:ascii="仿宋" w:eastAsia="仿宋" w:hAnsi="仿宋" w:cs="仿宋" w:hint="eastAsia"/>
          <w:kern w:val="0"/>
          <w:sz w:val="32"/>
          <w:szCs w:val="32"/>
        </w:rPr>
        <w:t>万元。</w:t>
      </w:r>
      <w:r>
        <w:rPr>
          <w:rFonts w:ascii="fang_song_gb2312" w:eastAsia="fang_song_gb2312" w:hAnsi="fang_song_gb2312" w:cs="fang_song_gb2312"/>
          <w:kern w:val="0"/>
          <w:sz w:val="27"/>
          <w:szCs w:val="27"/>
        </w:rPr>
        <w:t>其中，</w:t>
      </w:r>
      <w:r>
        <w:rPr>
          <w:rFonts w:ascii="仿宋" w:eastAsia="仿宋" w:hAnsi="仿宋" w:cs="仿宋" w:hint="eastAsia"/>
          <w:kern w:val="0"/>
          <w:sz w:val="32"/>
          <w:szCs w:val="32"/>
        </w:rPr>
        <w:t>对“无线电监管（中央对下转移支付）”项目委托相关第三方机构开展绩效评价。从评价情况看，“无线电监管（中央对下转移支付）”项目总体完成较好，维护了空中电波秩序，查收非法设台及有害干扰，保障本行政区无线电用频安全。</w:t>
      </w:r>
    </w:p>
    <w:p w:rsidR="00CF2B20" w:rsidRDefault="00B24772">
      <w:pPr>
        <w:widowControl/>
        <w:spacing w:before="240" w:after="240"/>
        <w:jc w:val="left"/>
        <w:rPr>
          <w:rFonts w:ascii="仿宋" w:eastAsia="仿宋" w:hAnsi="仿宋" w:cs="仿宋"/>
          <w:kern w:val="0"/>
          <w:sz w:val="32"/>
          <w:szCs w:val="32"/>
        </w:rPr>
      </w:pPr>
      <w:r>
        <w:rPr>
          <w:rFonts w:ascii="仿宋" w:eastAsia="仿宋" w:hAnsi="仿宋" w:cs="仿宋" w:hint="eastAsia"/>
          <w:b/>
          <w:bCs/>
          <w:kern w:val="0"/>
          <w:sz w:val="32"/>
          <w:szCs w:val="32"/>
        </w:rPr>
        <w:t>    （二）单位决算</w:t>
      </w:r>
      <w:proofErr w:type="gramStart"/>
      <w:r>
        <w:rPr>
          <w:rFonts w:ascii="仿宋" w:eastAsia="仿宋" w:hAnsi="仿宋" w:cs="仿宋" w:hint="eastAsia"/>
          <w:b/>
          <w:bCs/>
          <w:kern w:val="0"/>
          <w:sz w:val="32"/>
          <w:szCs w:val="32"/>
        </w:rPr>
        <w:t>中项目</w:t>
      </w:r>
      <w:proofErr w:type="gramEnd"/>
      <w:r>
        <w:rPr>
          <w:rFonts w:ascii="仿宋" w:eastAsia="仿宋" w:hAnsi="仿宋" w:cs="仿宋" w:hint="eastAsia"/>
          <w:b/>
          <w:bCs/>
          <w:kern w:val="0"/>
          <w:sz w:val="32"/>
          <w:szCs w:val="32"/>
        </w:rPr>
        <w:t>绩效自评结果。</w:t>
      </w:r>
    </w:p>
    <w:p w:rsidR="00CF2B20" w:rsidRDefault="00B24772">
      <w:pPr>
        <w:widowControl/>
        <w:spacing w:before="240" w:after="240"/>
        <w:rPr>
          <w:rFonts w:ascii="仿宋" w:eastAsia="仿宋" w:hAnsi="仿宋" w:cs="仿宋"/>
          <w:kern w:val="0"/>
          <w:sz w:val="32"/>
          <w:szCs w:val="32"/>
        </w:rPr>
      </w:pPr>
      <w:r>
        <w:rPr>
          <w:rFonts w:ascii="仿宋" w:eastAsia="仿宋" w:hAnsi="仿宋" w:cs="仿宋" w:hint="eastAsia"/>
          <w:kern w:val="0"/>
          <w:sz w:val="32"/>
          <w:szCs w:val="32"/>
        </w:rPr>
        <w:t>    内蒙古自治区工业和信息化厅驻锡林郭勒盟无线电管理处 2024年度在决算中反映</w:t>
      </w:r>
      <w:r>
        <w:rPr>
          <w:rFonts w:ascii="仿宋" w:eastAsia="仿宋" w:hAnsi="仿宋" w:cs="仿宋" w:hint="eastAsia"/>
          <w:kern w:val="0"/>
          <w:sz w:val="32"/>
          <w:szCs w:val="32"/>
          <w:u w:val="single"/>
        </w:rPr>
        <w:t>2</w:t>
      </w:r>
      <w:r>
        <w:rPr>
          <w:rFonts w:ascii="仿宋" w:eastAsia="仿宋" w:hAnsi="仿宋" w:cs="仿宋" w:hint="eastAsia"/>
          <w:kern w:val="0"/>
          <w:sz w:val="32"/>
          <w:szCs w:val="32"/>
        </w:rPr>
        <w:t>个一般公共预算项目，以及</w:t>
      </w:r>
      <w:r>
        <w:rPr>
          <w:rFonts w:ascii="仿宋" w:eastAsia="仿宋" w:hAnsi="仿宋" w:cs="仿宋" w:hint="eastAsia"/>
          <w:kern w:val="0"/>
          <w:sz w:val="32"/>
          <w:szCs w:val="32"/>
          <w:u w:val="single"/>
        </w:rPr>
        <w:t>0</w:t>
      </w:r>
      <w:r>
        <w:rPr>
          <w:rFonts w:ascii="仿宋" w:eastAsia="仿宋" w:hAnsi="仿宋" w:cs="仿宋" w:hint="eastAsia"/>
          <w:kern w:val="0"/>
          <w:sz w:val="32"/>
          <w:szCs w:val="32"/>
        </w:rPr>
        <w:t>个政府性基金项目，共</w:t>
      </w:r>
      <w:r>
        <w:rPr>
          <w:rFonts w:ascii="仿宋" w:eastAsia="仿宋" w:hAnsi="仿宋" w:cs="仿宋" w:hint="eastAsia"/>
          <w:kern w:val="0"/>
          <w:sz w:val="32"/>
          <w:szCs w:val="32"/>
          <w:u w:val="single"/>
        </w:rPr>
        <w:t>2</w:t>
      </w:r>
      <w:r>
        <w:rPr>
          <w:rFonts w:ascii="仿宋" w:eastAsia="仿宋" w:hAnsi="仿宋" w:cs="仿宋" w:hint="eastAsia"/>
          <w:kern w:val="0"/>
          <w:sz w:val="32"/>
          <w:szCs w:val="32"/>
        </w:rPr>
        <w:t>个项目的绩效自评结果。</w:t>
      </w:r>
    </w:p>
    <w:p w:rsidR="00CF2B20" w:rsidRDefault="00B24772">
      <w:pPr>
        <w:topLinePunct/>
        <w:spacing w:line="58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 1.无线电监管项目自评综述：根据年初设定的绩效目标，项目自评得分</w:t>
      </w:r>
      <w:r>
        <w:rPr>
          <w:rFonts w:ascii="仿宋" w:eastAsia="仿宋" w:hAnsi="仿宋" w:cs="仿宋" w:hint="eastAsia"/>
          <w:kern w:val="0"/>
          <w:sz w:val="32"/>
          <w:szCs w:val="32"/>
          <w:u w:val="single"/>
        </w:rPr>
        <w:t xml:space="preserve"> 99.99</w:t>
      </w:r>
      <w:r>
        <w:rPr>
          <w:rFonts w:ascii="仿宋" w:eastAsia="仿宋" w:hAnsi="仿宋" w:cs="仿宋" w:hint="eastAsia"/>
          <w:kern w:val="0"/>
          <w:sz w:val="32"/>
          <w:szCs w:val="32"/>
        </w:rPr>
        <w:t>分。全年预算数为</w:t>
      </w:r>
      <w:r>
        <w:rPr>
          <w:rFonts w:ascii="仿宋" w:eastAsia="仿宋" w:hAnsi="仿宋" w:cs="仿宋" w:hint="eastAsia"/>
          <w:kern w:val="0"/>
          <w:sz w:val="32"/>
          <w:szCs w:val="32"/>
          <w:u w:val="single"/>
        </w:rPr>
        <w:t>13.4</w:t>
      </w:r>
      <w:r>
        <w:rPr>
          <w:rFonts w:ascii="仿宋" w:eastAsia="仿宋" w:hAnsi="仿宋" w:cs="仿宋" w:hint="eastAsia"/>
          <w:kern w:val="0"/>
          <w:sz w:val="32"/>
          <w:szCs w:val="32"/>
        </w:rPr>
        <w:t>万元，执行数为</w:t>
      </w:r>
      <w:r>
        <w:rPr>
          <w:rFonts w:ascii="仿宋" w:eastAsia="仿宋" w:hAnsi="仿宋" w:cs="仿宋" w:hint="eastAsia"/>
          <w:kern w:val="0"/>
          <w:sz w:val="32"/>
          <w:szCs w:val="32"/>
          <w:u w:val="single"/>
        </w:rPr>
        <w:t xml:space="preserve"> 13.39</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99.93</w:t>
      </w:r>
      <w:r>
        <w:rPr>
          <w:rFonts w:ascii="仿宋" w:eastAsia="仿宋" w:hAnsi="仿宋" w:cs="仿宋" w:hint="eastAsia"/>
          <w:kern w:val="0"/>
          <w:sz w:val="32"/>
          <w:szCs w:val="32"/>
        </w:rPr>
        <w:t>%。项目绩效目标完成情况：1.</w:t>
      </w:r>
      <w:r>
        <w:rPr>
          <w:rFonts w:ascii="仿宋" w:eastAsia="仿宋" w:hAnsi="仿宋" w:cs="仿宋" w:hint="eastAsia"/>
          <w:color w:val="000000"/>
          <w:sz w:val="32"/>
          <w:szCs w:val="32"/>
        </w:rPr>
        <w:t>强化无线电频率台站管理，按时限完成无线电管理台站许可265件，办理无线电台265部，办理业余台站22部。2.开展无线电频率占用费收取工作，共收取251255元，圆满完成年度收费任务。3.</w:t>
      </w:r>
      <w:r>
        <w:rPr>
          <w:rFonts w:ascii="仿宋" w:eastAsia="仿宋" w:hAnsi="仿宋" w:cs="仿宋" w:hint="eastAsia"/>
          <w:sz w:val="32"/>
          <w:szCs w:val="32"/>
        </w:rPr>
        <w:t>开展在用无线电频率台站监督检查工作</w:t>
      </w:r>
      <w:r>
        <w:rPr>
          <w:rFonts w:ascii="仿宋" w:eastAsia="仿宋" w:hAnsi="仿宋" w:cs="仿宋" w:hint="eastAsia"/>
          <w:color w:val="000000"/>
          <w:sz w:val="32"/>
          <w:szCs w:val="32"/>
        </w:rPr>
        <w:t>。现场核查设台单位9家，现场核查台站81部。4.</w:t>
      </w:r>
      <w:r>
        <w:rPr>
          <w:rFonts w:ascii="仿宋" w:eastAsia="仿宋" w:hAnsi="仿宋" w:cs="仿宋" w:hint="eastAsia"/>
          <w:sz w:val="32"/>
          <w:szCs w:val="32"/>
        </w:rPr>
        <w:t>开展无线电发射设备销售备案及销售市场监督检查，完成12家经营主体审核，285套发射设备备案审核，现场检查经销商15家，对检查中发现无型号核准</w:t>
      </w:r>
      <w:r>
        <w:rPr>
          <w:rFonts w:ascii="仿宋" w:eastAsia="仿宋" w:hAnsi="仿宋" w:cs="仿宋" w:hint="eastAsia"/>
          <w:sz w:val="32"/>
          <w:szCs w:val="32"/>
        </w:rPr>
        <w:lastRenderedPageBreak/>
        <w:t>代码设备，要求经销商立即整改下架。5.</w:t>
      </w:r>
      <w:r>
        <w:rPr>
          <w:rFonts w:ascii="仿宋" w:eastAsia="仿宋" w:hAnsi="仿宋" w:cs="仿宋" w:hint="eastAsia"/>
          <w:bCs/>
          <w:color w:val="000000"/>
          <w:sz w:val="32"/>
          <w:szCs w:val="32"/>
        </w:rPr>
        <w:t>强化</w:t>
      </w:r>
      <w:r>
        <w:rPr>
          <w:rFonts w:ascii="仿宋" w:eastAsia="仿宋" w:hAnsi="仿宋" w:cs="仿宋" w:hint="eastAsia"/>
          <w:color w:val="000000"/>
          <w:kern w:val="0"/>
          <w:sz w:val="32"/>
          <w:szCs w:val="32"/>
        </w:rPr>
        <w:t>监测分析。按照自治区监测站加强无线电监测工作的通知安排，</w:t>
      </w:r>
      <w:r>
        <w:rPr>
          <w:rFonts w:ascii="仿宋" w:eastAsia="仿宋" w:hAnsi="仿宋" w:cs="仿宋" w:hint="eastAsia"/>
          <w:color w:val="000000"/>
          <w:sz w:val="32"/>
          <w:szCs w:val="32"/>
        </w:rPr>
        <w:t>完成重点频段监测3288小时，按时限上报无线电频谱监测统计月报6期、无线电监测和行政执法工作报告2期。6.开展无线电检测，</w:t>
      </w:r>
      <w:r>
        <w:rPr>
          <w:rFonts w:ascii="仿宋" w:eastAsia="仿宋" w:hAnsi="仿宋" w:cs="仿宋" w:hint="eastAsia"/>
          <w:sz w:val="32"/>
          <w:szCs w:val="32"/>
        </w:rPr>
        <w:t>检测业余无线电台10部，抽检公众移动通信基站7部。7.</w:t>
      </w:r>
      <w:r>
        <w:rPr>
          <w:rFonts w:ascii="仿宋" w:eastAsia="仿宋" w:hAnsi="仿宋" w:cs="仿宋" w:hint="eastAsia"/>
          <w:color w:val="000000"/>
          <w:sz w:val="32"/>
          <w:szCs w:val="32"/>
        </w:rPr>
        <w:t>受理干扰申告12起，完成查处12起</w:t>
      </w:r>
      <w:r>
        <w:rPr>
          <w:rFonts w:ascii="仿宋" w:eastAsia="仿宋" w:hAnsi="仿宋" w:cs="仿宋" w:hint="eastAsia"/>
          <w:color w:val="000000"/>
          <w:kern w:val="0"/>
          <w:sz w:val="32"/>
          <w:szCs w:val="32"/>
        </w:rPr>
        <w:t>。</w:t>
      </w:r>
      <w:r>
        <w:rPr>
          <w:rFonts w:ascii="仿宋" w:eastAsia="仿宋" w:hAnsi="仿宋" w:cs="仿宋" w:hint="eastAsia"/>
          <w:color w:val="000000"/>
          <w:sz w:val="32"/>
          <w:szCs w:val="32"/>
        </w:rPr>
        <w:t>8.</w:t>
      </w:r>
      <w:r>
        <w:rPr>
          <w:rFonts w:ascii="仿宋" w:eastAsia="仿宋" w:hAnsi="仿宋" w:cs="仿宋" w:hint="eastAsia"/>
          <w:sz w:val="32"/>
          <w:szCs w:val="32"/>
        </w:rPr>
        <w:t>配合国家监测中心完成边境口岸专项无线电频率测试工作，出动30人次，车辆3辆，</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3座，圆满完成测试任务。9.</w:t>
      </w:r>
      <w:r>
        <w:rPr>
          <w:rFonts w:ascii="仿宋" w:eastAsia="仿宋" w:hAnsi="仿宋" w:cs="仿宋" w:hint="eastAsia"/>
          <w:color w:val="000000"/>
          <w:sz w:val="32"/>
          <w:szCs w:val="32"/>
        </w:rPr>
        <w:t>配合锡林浩特市武装部，完成预备役人员政审、体检，民兵点验等工作。</w:t>
      </w:r>
      <w:r>
        <w:rPr>
          <w:rFonts w:ascii="仿宋" w:eastAsia="仿宋" w:hAnsi="仿宋" w:cs="仿宋" w:hint="eastAsia"/>
          <w:bCs/>
          <w:color w:val="000000"/>
          <w:sz w:val="32"/>
          <w:szCs w:val="32"/>
        </w:rPr>
        <w:t>10.</w:t>
      </w:r>
      <w:r>
        <w:rPr>
          <w:rFonts w:ascii="仿宋" w:eastAsia="仿宋" w:hAnsi="仿宋" w:cs="仿宋" w:hint="eastAsia"/>
          <w:color w:val="000000"/>
          <w:sz w:val="32"/>
          <w:szCs w:val="32"/>
        </w:rPr>
        <w:t>完成全国普通高校招生考试、初级会计师考试、全区公务员招录考试等27次统一考试的无线电安全保障任务，出动人员272人次，得到了主管部门的认可。</w:t>
      </w:r>
      <w:r>
        <w:rPr>
          <w:rFonts w:ascii="仿宋" w:eastAsia="仿宋" w:hAnsi="仿宋" w:hint="eastAsia"/>
          <w:bCs/>
          <w:sz w:val="32"/>
          <w:szCs w:val="32"/>
        </w:rPr>
        <w:t>存在问题：</w:t>
      </w:r>
      <w:r>
        <w:rPr>
          <w:rFonts w:ascii="仿宋" w:eastAsia="仿宋" w:hAnsi="仿宋" w:cs="仿宋"/>
          <w:bCs/>
          <w:sz w:val="32"/>
        </w:rPr>
        <w:t>年初预算细化不全面，存在年底结余现象。</w:t>
      </w:r>
      <w:r>
        <w:rPr>
          <w:rFonts w:ascii="仿宋" w:eastAsia="仿宋" w:hAnsi="仿宋" w:cs="仿宋" w:hint="eastAsia"/>
          <w:bCs/>
          <w:sz w:val="32"/>
        </w:rPr>
        <w:t>改进</w:t>
      </w:r>
      <w:r>
        <w:rPr>
          <w:rFonts w:ascii="仿宋" w:eastAsia="仿宋" w:hAnsi="仿宋" w:cs="仿宋"/>
          <w:spacing w:val="-1"/>
          <w:sz w:val="30"/>
          <w:szCs w:val="30"/>
        </w:rPr>
        <w:t>措施</w:t>
      </w:r>
      <w:r>
        <w:rPr>
          <w:rFonts w:ascii="仿宋" w:eastAsia="仿宋" w:hAnsi="仿宋" w:cs="仿宋" w:hint="eastAsia"/>
          <w:spacing w:val="-1"/>
          <w:sz w:val="30"/>
          <w:szCs w:val="30"/>
        </w:rPr>
        <w:t>：</w:t>
      </w:r>
      <w:r>
        <w:rPr>
          <w:rFonts w:ascii="仿宋" w:eastAsia="仿宋" w:hAnsi="仿宋" w:cs="仿宋"/>
          <w:sz w:val="32"/>
        </w:rPr>
        <w:t>结合年度工作实际情况，更全面更细致做下年预算</w:t>
      </w:r>
      <w:r>
        <w:rPr>
          <w:rFonts w:ascii="仿宋" w:eastAsia="仿宋" w:hAnsi="仿宋" w:cs="仿宋" w:hint="eastAsia"/>
          <w:sz w:val="32"/>
        </w:rPr>
        <w:t>，</w:t>
      </w:r>
      <w:r>
        <w:rPr>
          <w:rFonts w:ascii="Times New Roman Regular" w:eastAsia="仿宋" w:hAnsi="Times New Roman Regular" w:cs="Times New Roman Regular"/>
          <w:sz w:val="32"/>
          <w:szCs w:val="32"/>
        </w:rPr>
        <w:t>确保资金更好的运用</w:t>
      </w:r>
      <w:r>
        <w:rPr>
          <w:rFonts w:ascii="Times New Roman Regular" w:eastAsia="仿宋" w:hAnsi="Times New Roman Regular" w:cs="Times New Roman Regular" w:hint="eastAsia"/>
          <w:sz w:val="32"/>
          <w:szCs w:val="32"/>
        </w:rPr>
        <w:t>，执行率达</w:t>
      </w:r>
      <w:r>
        <w:rPr>
          <w:rFonts w:ascii="仿宋" w:eastAsia="仿宋" w:hAnsi="仿宋" w:cs="仿宋" w:hint="eastAsia"/>
          <w:sz w:val="32"/>
          <w:szCs w:val="32"/>
        </w:rPr>
        <w:t>到100%。</w:t>
      </w:r>
    </w:p>
    <w:p w:rsidR="00CF2B20" w:rsidRDefault="00CF2B20">
      <w:pPr>
        <w:pStyle w:val="a0"/>
      </w:pPr>
    </w:p>
    <w:p w:rsidR="00CF2B20" w:rsidRDefault="00B24772">
      <w:pPr>
        <w:topLinePunct/>
        <w:spacing w:line="580" w:lineRule="atLeast"/>
        <w:ind w:firstLineChars="200" w:firstLine="640"/>
        <w:rPr>
          <w:rFonts w:ascii="Times New Roman Regular" w:eastAsia="仿宋" w:hAnsi="Times New Roman Regular" w:cs="Times New Roman Regular"/>
          <w:sz w:val="32"/>
          <w:szCs w:val="32"/>
        </w:rPr>
      </w:pPr>
      <w:r>
        <w:rPr>
          <w:rFonts w:ascii="仿宋" w:eastAsia="仿宋" w:hAnsi="仿宋" w:cs="仿宋" w:hint="eastAsia"/>
          <w:kern w:val="0"/>
          <w:sz w:val="32"/>
          <w:szCs w:val="32"/>
        </w:rPr>
        <w:t>2.无线电监管（中央对下转移支付）项目自评综述：根据年初设定的绩效目标，项目自评得分</w:t>
      </w:r>
      <w:r>
        <w:rPr>
          <w:rFonts w:ascii="仿宋" w:eastAsia="仿宋" w:hAnsi="仿宋" w:cs="仿宋" w:hint="eastAsia"/>
          <w:kern w:val="0"/>
          <w:sz w:val="32"/>
          <w:szCs w:val="32"/>
          <w:u w:val="single"/>
        </w:rPr>
        <w:t xml:space="preserve"> 98.05</w:t>
      </w:r>
      <w:r>
        <w:rPr>
          <w:rFonts w:ascii="仿宋" w:eastAsia="仿宋" w:hAnsi="仿宋" w:cs="仿宋" w:hint="eastAsia"/>
          <w:kern w:val="0"/>
          <w:sz w:val="32"/>
          <w:szCs w:val="32"/>
        </w:rPr>
        <w:t>分。全年预算数为</w:t>
      </w:r>
      <w:r>
        <w:rPr>
          <w:rFonts w:ascii="仿宋" w:eastAsia="仿宋" w:hAnsi="仿宋" w:cs="仿宋" w:hint="eastAsia"/>
          <w:kern w:val="0"/>
          <w:sz w:val="32"/>
          <w:szCs w:val="32"/>
          <w:u w:val="single"/>
        </w:rPr>
        <w:t>201.32</w:t>
      </w:r>
      <w:r>
        <w:rPr>
          <w:rFonts w:ascii="仿宋" w:eastAsia="仿宋" w:hAnsi="仿宋" w:cs="仿宋" w:hint="eastAsia"/>
          <w:kern w:val="0"/>
          <w:sz w:val="32"/>
          <w:szCs w:val="32"/>
        </w:rPr>
        <w:t>万元，执行数为</w:t>
      </w:r>
      <w:r>
        <w:rPr>
          <w:rFonts w:ascii="仿宋" w:eastAsia="仿宋" w:hAnsi="仿宋" w:cs="仿宋" w:hint="eastAsia"/>
          <w:kern w:val="0"/>
          <w:sz w:val="32"/>
          <w:szCs w:val="32"/>
          <w:u w:val="single"/>
        </w:rPr>
        <w:t>162.16</w:t>
      </w:r>
      <w:r>
        <w:rPr>
          <w:rFonts w:ascii="仿宋" w:eastAsia="仿宋" w:hAnsi="仿宋" w:cs="仿宋" w:hint="eastAsia"/>
          <w:kern w:val="0"/>
          <w:sz w:val="32"/>
          <w:szCs w:val="32"/>
        </w:rPr>
        <w:t>万元，完成预算的</w:t>
      </w:r>
      <w:r>
        <w:rPr>
          <w:rFonts w:ascii="仿宋" w:eastAsia="仿宋" w:hAnsi="仿宋" w:cs="仿宋" w:hint="eastAsia"/>
          <w:kern w:val="0"/>
          <w:sz w:val="32"/>
          <w:szCs w:val="32"/>
          <w:u w:val="single"/>
        </w:rPr>
        <w:t>80.55</w:t>
      </w:r>
      <w:r>
        <w:rPr>
          <w:rFonts w:ascii="仿宋" w:eastAsia="仿宋" w:hAnsi="仿宋" w:cs="仿宋" w:hint="eastAsia"/>
          <w:kern w:val="0"/>
          <w:sz w:val="32"/>
          <w:szCs w:val="32"/>
        </w:rPr>
        <w:t>%。项目绩效目标完成情况：</w:t>
      </w:r>
      <w:r>
        <w:rPr>
          <w:rFonts w:ascii="仿宋" w:eastAsia="仿宋" w:hAnsi="仿宋" w:cs="仿宋" w:hint="eastAsia"/>
          <w:color w:val="000000"/>
          <w:sz w:val="32"/>
          <w:szCs w:val="32"/>
        </w:rPr>
        <w:t>1.</w:t>
      </w:r>
      <w:r>
        <w:rPr>
          <w:rFonts w:ascii="仿宋" w:eastAsia="仿宋" w:hAnsi="仿宋" w:cs="仿宋" w:hint="eastAsia"/>
          <w:sz w:val="32"/>
          <w:szCs w:val="32"/>
        </w:rPr>
        <w:t>开展在用无线电频率台站监督检查工作</w:t>
      </w:r>
      <w:r>
        <w:rPr>
          <w:rFonts w:ascii="仿宋" w:eastAsia="仿宋" w:hAnsi="仿宋" w:cs="仿宋" w:hint="eastAsia"/>
          <w:color w:val="000000"/>
          <w:sz w:val="32"/>
          <w:szCs w:val="32"/>
        </w:rPr>
        <w:t>。现场核查设台单位9家，现场核查台站81部。2.</w:t>
      </w:r>
      <w:r>
        <w:rPr>
          <w:rFonts w:ascii="仿宋" w:eastAsia="仿宋" w:hAnsi="仿宋" w:cs="仿宋" w:hint="eastAsia"/>
          <w:sz w:val="32"/>
          <w:szCs w:val="32"/>
        </w:rPr>
        <w:t>开展无线电发射设备销售备案及销售市场监督检查，完成12家经营主体审核，285套发射设备备案审核，现场检查经销商15家，对检查中发现无型号核准代码设备，要求经销商立即整改下架。3.</w:t>
      </w:r>
      <w:r>
        <w:rPr>
          <w:rFonts w:ascii="仿宋" w:eastAsia="仿宋" w:hAnsi="仿宋" w:cs="仿宋" w:hint="eastAsia"/>
          <w:bCs/>
          <w:color w:val="000000"/>
          <w:sz w:val="32"/>
          <w:szCs w:val="32"/>
        </w:rPr>
        <w:t>强化</w:t>
      </w:r>
      <w:r>
        <w:rPr>
          <w:rFonts w:ascii="仿宋" w:eastAsia="仿宋" w:hAnsi="仿宋" w:cs="仿宋" w:hint="eastAsia"/>
          <w:color w:val="000000"/>
          <w:kern w:val="0"/>
          <w:sz w:val="32"/>
          <w:szCs w:val="32"/>
        </w:rPr>
        <w:t>监测分析。按照自治区监测站加强无线电监测工作的通知安排，</w:t>
      </w:r>
      <w:r>
        <w:rPr>
          <w:rFonts w:ascii="仿宋" w:eastAsia="仿宋" w:hAnsi="仿宋" w:cs="仿宋" w:hint="eastAsia"/>
          <w:color w:val="000000"/>
          <w:sz w:val="32"/>
          <w:szCs w:val="32"/>
        </w:rPr>
        <w:t>完成重点频段监测3288小时，按时限上报无线电频谱监测</w:t>
      </w:r>
      <w:r>
        <w:rPr>
          <w:rFonts w:ascii="仿宋" w:eastAsia="仿宋" w:hAnsi="仿宋" w:cs="仿宋" w:hint="eastAsia"/>
          <w:color w:val="000000"/>
          <w:sz w:val="32"/>
          <w:szCs w:val="32"/>
        </w:rPr>
        <w:lastRenderedPageBreak/>
        <w:t>统计月报6期、无线电监测和行政执法工作报告2期。4.开展无线电检测，</w:t>
      </w:r>
      <w:r>
        <w:rPr>
          <w:rFonts w:ascii="仿宋" w:eastAsia="仿宋" w:hAnsi="仿宋" w:cs="仿宋" w:hint="eastAsia"/>
          <w:sz w:val="32"/>
          <w:szCs w:val="32"/>
        </w:rPr>
        <w:t>检测业余无线电台10部，抽检公众移动通信基站7部。</w:t>
      </w:r>
      <w:r>
        <w:rPr>
          <w:rFonts w:ascii="仿宋" w:eastAsia="仿宋" w:hAnsi="仿宋" w:cs="仿宋" w:hint="eastAsia"/>
          <w:sz w:val="32"/>
        </w:rPr>
        <w:t>5.开展了建立健全中国科学院国家空间中心明安图观测站子午工程的电磁环境保护机制工作，进行了电磁环境保护监测。6.</w:t>
      </w:r>
      <w:r>
        <w:rPr>
          <w:rFonts w:ascii="仿宋" w:eastAsia="仿宋" w:hAnsi="仿宋" w:cs="仿宋" w:hint="eastAsia"/>
          <w:color w:val="000000"/>
          <w:sz w:val="32"/>
          <w:szCs w:val="32"/>
        </w:rPr>
        <w:t>加强监测设备、移动监测车的管理维护，</w:t>
      </w:r>
      <w:r>
        <w:rPr>
          <w:rFonts w:ascii="仿宋" w:eastAsia="仿宋" w:hAnsi="仿宋" w:cs="仿宋" w:hint="eastAsia"/>
          <w:sz w:val="32"/>
          <w:szCs w:val="32"/>
        </w:rPr>
        <w:t>开展全盟铁塔机房环境治理“回头看”工作，联合铁塔公司对16处铁塔机房站</w:t>
      </w:r>
      <w:proofErr w:type="gramStart"/>
      <w:r>
        <w:rPr>
          <w:rFonts w:ascii="仿宋" w:eastAsia="仿宋" w:hAnsi="仿宋" w:cs="仿宋" w:hint="eastAsia"/>
          <w:sz w:val="32"/>
          <w:szCs w:val="32"/>
        </w:rPr>
        <w:t>址进行</w:t>
      </w:r>
      <w:proofErr w:type="gramEnd"/>
      <w:r>
        <w:rPr>
          <w:rFonts w:ascii="仿宋" w:eastAsia="仿宋" w:hAnsi="仿宋" w:cs="仿宋" w:hint="eastAsia"/>
          <w:sz w:val="32"/>
          <w:szCs w:val="32"/>
        </w:rPr>
        <w:t>整改，全部做到环境整洁、空调正常，运行安全。7.巡检28套</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设备，全部张贴设备铭牌。完成了镶黄旗四类监测站和1座二连市边境频率管理站站址搬迁，太仆寺旗和苏尼特右旗监测站的室内机柜更换为封闭性能更好的机柜，</w:t>
      </w:r>
      <w:proofErr w:type="gramStart"/>
      <w:r>
        <w:rPr>
          <w:rFonts w:ascii="仿宋" w:eastAsia="仿宋" w:hAnsi="仿宋" w:cs="仿宋" w:hint="eastAsia"/>
          <w:sz w:val="32"/>
          <w:szCs w:val="32"/>
        </w:rPr>
        <w:t>朱日和</w:t>
      </w:r>
      <w:proofErr w:type="gramEnd"/>
      <w:r>
        <w:rPr>
          <w:rFonts w:ascii="仿宋" w:eastAsia="仿宋" w:hAnsi="仿宋" w:cs="仿宋" w:hint="eastAsia"/>
          <w:sz w:val="32"/>
          <w:szCs w:val="32"/>
        </w:rPr>
        <w:t>固定监测站更换为独立机柜，</w:t>
      </w:r>
      <w:proofErr w:type="gramStart"/>
      <w:r>
        <w:rPr>
          <w:rFonts w:ascii="仿宋" w:eastAsia="仿宋" w:hAnsi="仿宋" w:cs="仿宋" w:hint="eastAsia"/>
          <w:sz w:val="32"/>
          <w:szCs w:val="32"/>
        </w:rPr>
        <w:t>珠恩嘎</w:t>
      </w:r>
      <w:proofErr w:type="gramEnd"/>
      <w:r>
        <w:rPr>
          <w:rFonts w:ascii="仿宋" w:eastAsia="仿宋" w:hAnsi="仿宋" w:cs="仿宋" w:hint="eastAsia"/>
          <w:sz w:val="32"/>
          <w:szCs w:val="32"/>
        </w:rPr>
        <w:t>达布其口岸监测站电源故障的维修更换</w:t>
      </w:r>
      <w:r>
        <w:rPr>
          <w:rFonts w:ascii="仿宋" w:eastAsia="仿宋" w:hAnsi="仿宋" w:cs="仿宋" w:hint="eastAsia"/>
          <w:color w:val="000000"/>
          <w:sz w:val="32"/>
          <w:szCs w:val="32"/>
        </w:rPr>
        <w:t>。维修升级了HR-11S移动监测设备电源系统。8.</w:t>
      </w:r>
      <w:r>
        <w:rPr>
          <w:rFonts w:ascii="仿宋" w:eastAsia="仿宋" w:hAnsi="仿宋" w:cs="仿宋" w:hint="eastAsia"/>
          <w:sz w:val="32"/>
        </w:rPr>
        <w:t>开展干扰查处和不明信号排查，受理干扰申告12起，完成查处12起。切实维护了设台单位的合法权益，得到了用户的好评。9.配合锡盟教育局、人力资源和社会保障局、司法局、卫计委等部门进行重要考试的无线电安全保障工作，严密防范利用无线电设备作弊无线电安全保障工作27次，得到了主管部门的认可。10.开展重点时期的无线电监测保障工作。为了更好地服务保障经济建设和重大活动，按照工</w:t>
      </w:r>
      <w:proofErr w:type="gramStart"/>
      <w:r>
        <w:rPr>
          <w:rFonts w:ascii="仿宋" w:eastAsia="仿宋" w:hAnsi="仿宋" w:cs="仿宋" w:hint="eastAsia"/>
          <w:sz w:val="32"/>
        </w:rPr>
        <w:t>信厅重大</w:t>
      </w:r>
      <w:proofErr w:type="gramEnd"/>
      <w:r>
        <w:rPr>
          <w:rFonts w:ascii="仿宋" w:eastAsia="仿宋" w:hAnsi="仿宋" w:cs="仿宋" w:hint="eastAsia"/>
          <w:sz w:val="32"/>
        </w:rPr>
        <w:t>活动安排，组织做好了“春节”、“两会”、“国庆”、“防汛”等重大活动和节假日期间，民航、铁路、广播电视等重要业务的无线电安全保障，确保了重大活动期间的通信安全。11.参与完成了“嫦娥六号”探测器回收期间无线电安全保障，圆满完成保障任务。</w:t>
      </w:r>
    </w:p>
    <w:p w:rsidR="00CF2B20" w:rsidRDefault="00B24772">
      <w:pPr>
        <w:ind w:firstLineChars="200" w:firstLine="640"/>
      </w:pPr>
      <w:r>
        <w:rPr>
          <w:rFonts w:ascii="仿宋" w:eastAsia="仿宋" w:hAnsi="仿宋" w:hint="eastAsia"/>
          <w:bCs/>
          <w:sz w:val="32"/>
          <w:szCs w:val="32"/>
        </w:rPr>
        <w:t>存在问题：1.</w:t>
      </w:r>
      <w:r>
        <w:rPr>
          <w:rFonts w:ascii="仿宋" w:eastAsia="仿宋" w:hAnsi="仿宋" w:cs="仿宋" w:hint="eastAsia"/>
          <w:sz w:val="32"/>
          <w:szCs w:val="32"/>
        </w:rPr>
        <w:t>项目支出运行实践经验还有所欠缺，我处相关人员</w:t>
      </w:r>
      <w:r>
        <w:rPr>
          <w:rFonts w:ascii="仿宋" w:eastAsia="仿宋" w:hAnsi="仿宋" w:cs="仿宋" w:hint="eastAsia"/>
          <w:sz w:val="32"/>
          <w:szCs w:val="32"/>
        </w:rPr>
        <w:lastRenderedPageBreak/>
        <w:t>配备还显不足，相关制度建设还有待进一步加强。2.</w:t>
      </w:r>
      <w:r>
        <w:rPr>
          <w:rFonts w:ascii="仿宋" w:eastAsia="仿宋" w:hAnsi="仿宋" w:cs="仿宋"/>
          <w:bCs/>
          <w:sz w:val="32"/>
        </w:rPr>
        <w:t>年初预算细化不全面，存在年底结余现象。</w:t>
      </w:r>
      <w:r>
        <w:rPr>
          <w:rFonts w:ascii="仿宋" w:eastAsia="仿宋" w:hAnsi="仿宋" w:cs="仿宋" w:hint="eastAsia"/>
          <w:bCs/>
          <w:sz w:val="32"/>
        </w:rPr>
        <w:t>改进</w:t>
      </w:r>
      <w:r>
        <w:rPr>
          <w:rFonts w:ascii="仿宋" w:eastAsia="仿宋" w:hAnsi="仿宋" w:cs="仿宋"/>
          <w:spacing w:val="-1"/>
          <w:sz w:val="30"/>
          <w:szCs w:val="30"/>
        </w:rPr>
        <w:t>措施</w:t>
      </w:r>
      <w:r>
        <w:rPr>
          <w:rFonts w:ascii="仿宋" w:eastAsia="仿宋" w:hAnsi="仿宋" w:cs="仿宋" w:hint="eastAsia"/>
          <w:spacing w:val="-1"/>
          <w:sz w:val="30"/>
          <w:szCs w:val="30"/>
        </w:rPr>
        <w:t>：</w:t>
      </w:r>
      <w:r>
        <w:rPr>
          <w:rFonts w:ascii="仿宋" w:eastAsia="仿宋" w:hAnsi="仿宋" w:cs="仿宋"/>
          <w:sz w:val="32"/>
        </w:rPr>
        <w:t>结合年度工作实际情况，更全面更细致做下年预算</w:t>
      </w:r>
      <w:r>
        <w:rPr>
          <w:rFonts w:ascii="仿宋" w:eastAsia="仿宋" w:hAnsi="仿宋" w:cs="仿宋" w:hint="eastAsia"/>
          <w:sz w:val="32"/>
        </w:rPr>
        <w:t>，使预算编制更科学。</w:t>
      </w:r>
    </w:p>
    <w:p w:rsidR="00CF2B20" w:rsidRDefault="00CF2B20">
      <w:pPr>
        <w:pStyle w:val="a0"/>
        <w:jc w:val="both"/>
      </w:pPr>
    </w:p>
    <w:p w:rsidR="00CF2B20" w:rsidRDefault="00CF2B20">
      <w:pPr>
        <w:pStyle w:val="a0"/>
        <w:jc w:val="both"/>
      </w:pPr>
    </w:p>
    <w:p w:rsidR="00CF2B20" w:rsidRDefault="00CF2B20">
      <w:pPr>
        <w:pStyle w:val="a0"/>
        <w:jc w:val="both"/>
      </w:pPr>
    </w:p>
    <w:tbl>
      <w:tblPr>
        <w:tblW w:w="5036" w:type="pct"/>
        <w:tblInd w:w="-84" w:type="dxa"/>
        <w:tblLook w:val="04A0"/>
      </w:tblPr>
      <w:tblGrid>
        <w:gridCol w:w="802"/>
        <w:gridCol w:w="874"/>
        <w:gridCol w:w="999"/>
        <w:gridCol w:w="955"/>
        <w:gridCol w:w="691"/>
        <w:gridCol w:w="631"/>
        <w:gridCol w:w="649"/>
        <w:gridCol w:w="756"/>
        <w:gridCol w:w="799"/>
        <w:gridCol w:w="677"/>
        <w:gridCol w:w="666"/>
        <w:gridCol w:w="1529"/>
      </w:tblGrid>
      <w:tr w:rsidR="00CF2B20">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CF2B20">
        <w:trPr>
          <w:trHeight w:val="380"/>
        </w:trPr>
        <w:tc>
          <w:tcPr>
            <w:tcW w:w="7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224"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CF2B20">
        <w:trPr>
          <w:trHeight w:val="380"/>
        </w:trPr>
        <w:tc>
          <w:tcPr>
            <w:tcW w:w="77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7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6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842"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内蒙古自治区工业和信息化厅驻锡林郭勒盟无线电管理处</w:t>
            </w:r>
          </w:p>
        </w:tc>
      </w:tr>
      <w:tr w:rsidR="00CF2B20">
        <w:trPr>
          <w:trHeight w:val="380"/>
        </w:trPr>
        <w:tc>
          <w:tcPr>
            <w:tcW w:w="77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rPr>
                <w:rFonts w:ascii="宋体" w:hAnsi="宋体" w:cs="宋体"/>
                <w:color w:val="000000"/>
                <w:sz w:val="18"/>
                <w:szCs w:val="18"/>
              </w:rPr>
            </w:pP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6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6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7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CF2B20">
        <w:trPr>
          <w:trHeight w:val="380"/>
        </w:trPr>
        <w:tc>
          <w:tcPr>
            <w:tcW w:w="77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13.4</w:t>
            </w:r>
          </w:p>
        </w:tc>
        <w:tc>
          <w:tcPr>
            <w:tcW w:w="6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13.4</w:t>
            </w:r>
          </w:p>
        </w:tc>
        <w:tc>
          <w:tcPr>
            <w:tcW w:w="6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13.39</w:t>
            </w:r>
          </w:p>
        </w:tc>
        <w:tc>
          <w:tcPr>
            <w:tcW w:w="4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99.93</w:t>
            </w:r>
          </w:p>
        </w:tc>
        <w:tc>
          <w:tcPr>
            <w:tcW w:w="7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w:t>
            </w:r>
          </w:p>
        </w:tc>
      </w:tr>
      <w:tr w:rsidR="00CF2B20">
        <w:trPr>
          <w:trHeight w:val="380"/>
        </w:trPr>
        <w:tc>
          <w:tcPr>
            <w:tcW w:w="77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sz w:val="18"/>
                <w:szCs w:val="18"/>
              </w:rPr>
              <w:t>13.4</w:t>
            </w:r>
          </w:p>
        </w:tc>
        <w:tc>
          <w:tcPr>
            <w:tcW w:w="6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13.4</w:t>
            </w:r>
          </w:p>
        </w:tc>
        <w:tc>
          <w:tcPr>
            <w:tcW w:w="6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13.39</w:t>
            </w:r>
          </w:p>
        </w:tc>
        <w:tc>
          <w:tcPr>
            <w:tcW w:w="4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99.93</w:t>
            </w:r>
          </w:p>
        </w:tc>
        <w:tc>
          <w:tcPr>
            <w:tcW w:w="7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CF2B20">
        <w:trPr>
          <w:trHeight w:val="380"/>
        </w:trPr>
        <w:tc>
          <w:tcPr>
            <w:tcW w:w="77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6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CF2B20">
        <w:trPr>
          <w:trHeight w:val="380"/>
        </w:trPr>
        <w:tc>
          <w:tcPr>
            <w:tcW w:w="77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69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650"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7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CF2B20">
        <w:trPr>
          <w:trHeight w:val="380"/>
        </w:trPr>
        <w:tc>
          <w:tcPr>
            <w:tcW w:w="77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4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18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CF2B20">
        <w:trPr>
          <w:trHeight w:val="1120"/>
        </w:trPr>
        <w:tc>
          <w:tcPr>
            <w:tcW w:w="775"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204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用于劳务费、办公设备购置费和补充日常运转经费，提高预算编制质量，严格执行预算</w:t>
            </w:r>
          </w:p>
        </w:tc>
        <w:tc>
          <w:tcPr>
            <w:tcW w:w="218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开展干扰查处和不明信号排查，受理干扰申告12起，完成查处12起。切实维护了设台单位的合法权益，得到了用户的好评。完成了办公设备购置及劳务费的支出，严格执行预算，预算率达到99.93%</w:t>
            </w:r>
          </w:p>
        </w:tc>
      </w:tr>
      <w:tr w:rsidR="00CF2B20">
        <w:trPr>
          <w:trHeight w:val="380"/>
        </w:trPr>
        <w:tc>
          <w:tcPr>
            <w:tcW w:w="417"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357"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515"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93"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361"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330"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340"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341"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13"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354"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2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7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CF2B20">
        <w:trPr>
          <w:trHeight w:val="840"/>
        </w:trPr>
        <w:tc>
          <w:tcPr>
            <w:tcW w:w="4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保障考试数量</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96" w:type="pct"/>
            <w:tcBorders>
              <w:top w:val="single" w:sz="4" w:space="0" w:color="000000"/>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申诉处理率</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96" w:type="pct"/>
            <w:tcBorders>
              <w:top w:val="single" w:sz="4" w:space="0" w:color="000000"/>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服务企业数量</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96" w:type="pct"/>
            <w:tcBorders>
              <w:top w:val="single" w:sz="4" w:space="0" w:color="000000"/>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完成申诉合格率</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96" w:type="pct"/>
            <w:tcBorders>
              <w:top w:val="single" w:sz="4" w:space="0" w:color="000000"/>
              <w:left w:val="single" w:sz="4" w:space="0" w:color="auto"/>
              <w:bottom w:val="single" w:sz="4" w:space="0" w:color="auto"/>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8" w:type="pct"/>
            <w:tcBorders>
              <w:top w:val="single" w:sz="4" w:space="0" w:color="000000"/>
              <w:left w:val="single" w:sz="4" w:space="0" w:color="000000"/>
              <w:bottom w:val="single" w:sz="4" w:space="0" w:color="auto"/>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完成考试保障工作合格率</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sz w:val="18"/>
                <w:szCs w:val="18"/>
              </w:rPr>
              <w:t>5</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申诉处理时间</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96" w:type="pct"/>
            <w:tcBorders>
              <w:top w:val="single" w:sz="4" w:space="0" w:color="auto"/>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8" w:type="pct"/>
            <w:tcBorders>
              <w:top w:val="single" w:sz="4" w:space="0" w:color="auto"/>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回应企业服务时间</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296" w:type="pct"/>
            <w:tcBorders>
              <w:top w:val="single" w:sz="4" w:space="0" w:color="000000"/>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劳务支出</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3.20</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296" w:type="pct"/>
            <w:tcBorders>
              <w:top w:val="single" w:sz="4" w:space="0" w:color="000000"/>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widowControl/>
              <w:jc w:val="center"/>
              <w:textAlignment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widowControl/>
              <w:jc w:val="center"/>
              <w:textAlignment w:val="center"/>
              <w:rPr>
                <w:rFonts w:ascii="宋体" w:hAnsi="宋体" w:cs="宋体"/>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CF2B20">
            <w:pPr>
              <w:widowControl/>
              <w:jc w:val="center"/>
              <w:textAlignment w:val="center"/>
              <w:rPr>
                <w:rFonts w:ascii="宋体" w:hAnsi="宋体" w:cs="宋体"/>
                <w:color w:val="000000"/>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购置办公设备</w:t>
            </w:r>
          </w:p>
        </w:tc>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340"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3.55</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3.55</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354" w:type="pct"/>
            <w:tcBorders>
              <w:top w:val="single" w:sz="4" w:space="0" w:color="auto"/>
              <w:left w:val="single" w:sz="4" w:space="0" w:color="auto"/>
              <w:bottom w:val="single" w:sz="4" w:space="0" w:color="auto"/>
              <w:right w:val="single" w:sz="4" w:space="0" w:color="auto"/>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296" w:type="pct"/>
            <w:tcBorders>
              <w:top w:val="single" w:sz="4" w:space="0" w:color="000000"/>
              <w:left w:val="single" w:sz="4" w:space="0" w:color="auto"/>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auto"/>
              <w:left w:val="single" w:sz="4" w:space="0" w:color="auto"/>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top w:val="single" w:sz="4" w:space="0" w:color="auto"/>
              <w:left w:val="single" w:sz="4" w:space="0" w:color="000000"/>
              <w:right w:val="single" w:sz="4" w:space="0" w:color="000000"/>
            </w:tcBorders>
            <w:shd w:val="clear" w:color="auto" w:fill="auto"/>
            <w:vAlign w:val="center"/>
          </w:tcPr>
          <w:p w:rsidR="00CF2B20" w:rsidRDefault="00CF2B20">
            <w:pPr>
              <w:widowControl/>
              <w:jc w:val="center"/>
              <w:textAlignment w:val="center"/>
              <w:rPr>
                <w:rFonts w:ascii="宋体" w:hAnsi="宋体" w:cs="宋体"/>
                <w:color w:val="000000"/>
                <w:kern w:val="0"/>
                <w:sz w:val="18"/>
                <w:szCs w:val="18"/>
              </w:rPr>
            </w:pPr>
          </w:p>
        </w:tc>
        <w:tc>
          <w:tcPr>
            <w:tcW w:w="515" w:type="pct"/>
            <w:vMerge/>
            <w:tcBorders>
              <w:top w:val="single" w:sz="4" w:space="0" w:color="auto"/>
              <w:left w:val="single" w:sz="4" w:space="0" w:color="000000"/>
              <w:bottom w:val="nil"/>
              <w:right w:val="single" w:sz="4" w:space="0" w:color="000000"/>
            </w:tcBorders>
            <w:shd w:val="clear" w:color="auto" w:fill="auto"/>
            <w:vAlign w:val="center"/>
          </w:tcPr>
          <w:p w:rsidR="00CF2B20" w:rsidRDefault="00CF2B20">
            <w:pPr>
              <w:widowControl/>
              <w:jc w:val="center"/>
              <w:textAlignment w:val="center"/>
              <w:rPr>
                <w:rFonts w:ascii="宋体" w:hAnsi="宋体" w:cs="宋体"/>
                <w:color w:val="000000"/>
                <w:sz w:val="18"/>
                <w:szCs w:val="18"/>
              </w:rPr>
            </w:pPr>
          </w:p>
        </w:tc>
        <w:tc>
          <w:tcPr>
            <w:tcW w:w="493"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干扰查处差旅费</w:t>
            </w:r>
          </w:p>
        </w:tc>
        <w:tc>
          <w:tcPr>
            <w:tcW w:w="361"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反向</w:t>
            </w:r>
          </w:p>
        </w:tc>
        <w:tc>
          <w:tcPr>
            <w:tcW w:w="330"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小于等于</w:t>
            </w:r>
          </w:p>
        </w:tc>
        <w:tc>
          <w:tcPr>
            <w:tcW w:w="340"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341"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2.00</w:t>
            </w:r>
          </w:p>
        </w:tc>
        <w:tc>
          <w:tcPr>
            <w:tcW w:w="413"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354" w:type="pct"/>
            <w:tcBorders>
              <w:top w:val="single" w:sz="4" w:space="0" w:color="auto"/>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96"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000000"/>
              <w:left w:val="single" w:sz="4" w:space="0" w:color="auto"/>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val="restart"/>
            <w:tcBorders>
              <w:top w:val="single" w:sz="4" w:space="0" w:color="000000"/>
              <w:left w:val="single" w:sz="4" w:space="0" w:color="000000"/>
              <w:right w:val="single" w:sz="4" w:space="0" w:color="000000"/>
            </w:tcBorders>
            <w:shd w:val="clear" w:color="auto" w:fill="auto"/>
            <w:vAlign w:val="center"/>
          </w:tcPr>
          <w:p w:rsidR="00CF2B20" w:rsidRDefault="00B24772">
            <w:pPr>
              <w:tabs>
                <w:tab w:val="left" w:pos="477"/>
              </w:tabs>
              <w:jc w:val="left"/>
              <w:rPr>
                <w:rFonts w:ascii="宋体" w:hAnsi="宋体" w:cs="宋体"/>
                <w:color w:val="000000"/>
                <w:sz w:val="18"/>
                <w:szCs w:val="18"/>
              </w:rPr>
            </w:pPr>
            <w:r>
              <w:rPr>
                <w:rFonts w:ascii="宋体" w:hAnsi="宋体" w:cs="宋体" w:hint="eastAsia"/>
                <w:color w:val="000000"/>
                <w:sz w:val="18"/>
                <w:szCs w:val="18"/>
              </w:rPr>
              <w:tab/>
            </w:r>
            <w:r>
              <w:rPr>
                <w:rFonts w:ascii="宋体" w:hAnsi="宋体" w:cs="宋体" w:hint="eastAsia"/>
                <w:color w:val="000000"/>
                <w:kern w:val="0"/>
                <w:sz w:val="18"/>
                <w:szCs w:val="18"/>
              </w:rPr>
              <w:t>效益指标</w:t>
            </w:r>
          </w:p>
        </w:tc>
        <w:tc>
          <w:tcPr>
            <w:tcW w:w="515"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w:t>
            </w:r>
          </w:p>
        </w:tc>
        <w:tc>
          <w:tcPr>
            <w:tcW w:w="989"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无线电工作良好的完成稳定电波秩序</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2"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682"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持续稳定</w:t>
            </w:r>
          </w:p>
        </w:tc>
        <w:tc>
          <w:tcPr>
            <w:tcW w:w="68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持续稳定</w:t>
            </w:r>
          </w:p>
        </w:tc>
        <w:tc>
          <w:tcPr>
            <w:tcW w:w="830"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354"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296"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000000"/>
              <w:left w:val="single" w:sz="4" w:space="0" w:color="auto"/>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357" w:type="pct"/>
            <w:vMerge/>
            <w:tcBorders>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15"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w:t>
            </w:r>
          </w:p>
        </w:tc>
        <w:tc>
          <w:tcPr>
            <w:tcW w:w="989"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推动本行业可持续发展</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662"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682"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持续推动</w:t>
            </w:r>
          </w:p>
        </w:tc>
        <w:tc>
          <w:tcPr>
            <w:tcW w:w="68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持续推动</w:t>
            </w:r>
          </w:p>
        </w:tc>
        <w:tc>
          <w:tcPr>
            <w:tcW w:w="830"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354"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296"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417" w:type="pct"/>
            <w:vMerge/>
            <w:tcBorders>
              <w:top w:val="single" w:sz="4" w:space="0" w:color="000000"/>
              <w:left w:val="single" w:sz="4" w:space="0" w:color="auto"/>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357"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515"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w:t>
            </w:r>
          </w:p>
        </w:tc>
        <w:tc>
          <w:tcPr>
            <w:tcW w:w="989"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服务单位及群众满意度</w:t>
            </w:r>
          </w:p>
        </w:tc>
        <w:tc>
          <w:tcPr>
            <w:tcW w:w="72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662"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682"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68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83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354"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296" w:type="pc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778" w:type="pct"/>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40"/>
        </w:trPr>
        <w:tc>
          <w:tcPr>
            <w:tcW w:w="3571"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2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99.99</w:t>
            </w:r>
          </w:p>
        </w:tc>
        <w:tc>
          <w:tcPr>
            <w:tcW w:w="7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bl>
    <w:p w:rsidR="00CF2B20" w:rsidRDefault="00CF2B20">
      <w:pPr>
        <w:pStyle w:val="a0"/>
        <w:ind w:firstLine="497"/>
      </w:pPr>
    </w:p>
    <w:p w:rsidR="00CF2B20" w:rsidRDefault="00CF2B20">
      <w:pPr>
        <w:pStyle w:val="a0"/>
        <w:ind w:firstLine="497"/>
      </w:pPr>
    </w:p>
    <w:p w:rsidR="00CF2B20" w:rsidRDefault="00CF2B20">
      <w:pPr>
        <w:pStyle w:val="a0"/>
        <w:ind w:firstLine="497"/>
      </w:pPr>
    </w:p>
    <w:p w:rsidR="00CF2B20" w:rsidRDefault="00CF2B20">
      <w:pPr>
        <w:pStyle w:val="a0"/>
        <w:ind w:firstLine="497"/>
      </w:pPr>
    </w:p>
    <w:tbl>
      <w:tblPr>
        <w:tblpPr w:leftFromText="180" w:rightFromText="180" w:vertAnchor="text" w:horzAnchor="page" w:tblpX="1020" w:tblpY="327"/>
        <w:tblOverlap w:val="never"/>
        <w:tblW w:w="10105" w:type="dxa"/>
        <w:tblLook w:val="04A0"/>
      </w:tblPr>
      <w:tblGrid>
        <w:gridCol w:w="580"/>
        <w:gridCol w:w="586"/>
        <w:gridCol w:w="847"/>
        <w:gridCol w:w="1114"/>
        <w:gridCol w:w="580"/>
        <w:gridCol w:w="588"/>
        <w:gridCol w:w="1118"/>
        <w:gridCol w:w="1111"/>
        <w:gridCol w:w="876"/>
        <w:gridCol w:w="714"/>
        <w:gridCol w:w="983"/>
        <w:gridCol w:w="1008"/>
      </w:tblGrid>
      <w:tr w:rsidR="00CF2B20">
        <w:trPr>
          <w:trHeight w:val="683"/>
        </w:trPr>
        <w:tc>
          <w:tcPr>
            <w:tcW w:w="1010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CF2B20">
        <w:trPr>
          <w:trHeight w:val="175"/>
        </w:trPr>
        <w:tc>
          <w:tcPr>
            <w:tcW w:w="11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93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CF2B20">
        <w:trPr>
          <w:trHeight w:val="344"/>
        </w:trPr>
        <w:tc>
          <w:tcPr>
            <w:tcW w:w="11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1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58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内蒙古自治区工业和信息化厅驻锡林郭勒盟无线电管理处</w:t>
            </w:r>
          </w:p>
        </w:tc>
      </w:tr>
      <w:tr w:rsidR="00CF2B20">
        <w:trPr>
          <w:trHeight w:val="344"/>
        </w:trPr>
        <w:tc>
          <w:tcPr>
            <w:tcW w:w="11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项目资金</w:t>
            </w:r>
            <w:r>
              <w:rPr>
                <w:rFonts w:ascii="宋体" w:hAnsi="宋体" w:cs="宋体" w:hint="eastAsia"/>
                <w:color w:val="000000"/>
                <w:kern w:val="0"/>
                <w:sz w:val="18"/>
                <w:szCs w:val="18"/>
              </w:rPr>
              <w:br/>
              <w:t>（万元）</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rPr>
                <w:rFonts w:ascii="宋体" w:hAnsi="宋体" w:cs="宋体"/>
                <w:color w:val="000000"/>
                <w:sz w:val="18"/>
                <w:szCs w:val="18"/>
              </w:rPr>
            </w:pP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1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6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CF2B20">
        <w:trPr>
          <w:trHeight w:val="344"/>
        </w:trPr>
        <w:tc>
          <w:tcPr>
            <w:tcW w:w="116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201.32</w:t>
            </w:r>
          </w:p>
        </w:tc>
        <w:tc>
          <w:tcPr>
            <w:tcW w:w="11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201.32</w:t>
            </w:r>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162.16</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6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80.55</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8.05</w:t>
            </w:r>
          </w:p>
        </w:tc>
      </w:tr>
      <w:tr w:rsidR="00CF2B20">
        <w:trPr>
          <w:trHeight w:val="175"/>
        </w:trPr>
        <w:tc>
          <w:tcPr>
            <w:tcW w:w="116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201.32</w:t>
            </w:r>
          </w:p>
        </w:tc>
        <w:tc>
          <w:tcPr>
            <w:tcW w:w="11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201.32</w:t>
            </w:r>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162.16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80.55</w:t>
            </w:r>
          </w:p>
        </w:tc>
        <w:tc>
          <w:tcPr>
            <w:tcW w:w="1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CF2B20">
        <w:trPr>
          <w:trHeight w:val="344"/>
        </w:trPr>
        <w:tc>
          <w:tcPr>
            <w:tcW w:w="116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CF2B20">
        <w:trPr>
          <w:trHeight w:val="344"/>
        </w:trPr>
        <w:tc>
          <w:tcPr>
            <w:tcW w:w="116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1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2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6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F2B20" w:rsidRDefault="00B24772">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CF2B20">
        <w:trPr>
          <w:trHeight w:val="175"/>
        </w:trPr>
        <w:tc>
          <w:tcPr>
            <w:tcW w:w="11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2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6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CF2B20">
        <w:trPr>
          <w:trHeight w:val="2884"/>
        </w:trPr>
        <w:tc>
          <w:tcPr>
            <w:tcW w:w="116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42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解决业务用房、监测车和无线电设备的正常运转及时排查故障，通过强化学习培训，提高工作水平，更好地完成无线电干扰查处、重大活动保障、考试保障等工作任务，维护无线电波秩序。</w:t>
            </w:r>
          </w:p>
        </w:tc>
        <w:tc>
          <w:tcPr>
            <w:tcW w:w="46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 开展干扰查处和不明信号排查，受理干扰申告12起，完成查处12起。切实维护了设台单位的合法权益，得到了用户的好评。2.配合锡盟教育局、人力资源和社会保障局、司法局、卫计委等部门进行重要考试的无线电安全保障工作，严密防范利用无线电设备作弊无线电安全保障工作27次，得到了主管部门的认可。3.开展重点时期的无线电监测保障工作。为了更好地服务保障经济建设和重大活动，按照工</w:t>
            </w:r>
            <w:proofErr w:type="gramStart"/>
            <w:r>
              <w:rPr>
                <w:rFonts w:ascii="宋体" w:hAnsi="宋体" w:cs="宋体" w:hint="eastAsia"/>
                <w:color w:val="000000"/>
                <w:kern w:val="0"/>
                <w:sz w:val="18"/>
                <w:szCs w:val="18"/>
              </w:rPr>
              <w:t>信厅重大</w:t>
            </w:r>
            <w:proofErr w:type="gramEnd"/>
            <w:r>
              <w:rPr>
                <w:rFonts w:ascii="宋体" w:hAnsi="宋体" w:cs="宋体" w:hint="eastAsia"/>
                <w:color w:val="000000"/>
                <w:kern w:val="0"/>
                <w:sz w:val="18"/>
                <w:szCs w:val="18"/>
              </w:rPr>
              <w:t>活动安排，组织做好了“春节”、“两会”、“国庆”、“防汛”等重大活动和节假日期间，民航、铁路、广播电视等重要业务的无线电安全保障，确保了重大活动期间的通信安全。4.参与完成了“嫦娥六号”探测器回收期间无线电安全保障，圆满完成保障任务。5.开展了建立健全中国科学院国家空间中心明安图观测站子午工程的电磁环境保护机制工作，进行了电磁环境保护监测。6.做好无线电用房、监测车和无线电设备的正常运转及故障排查。</w:t>
            </w:r>
          </w:p>
        </w:tc>
      </w:tr>
      <w:tr w:rsidR="00CF2B20">
        <w:trPr>
          <w:trHeight w:val="1022"/>
        </w:trPr>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1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CF2B20">
        <w:trPr>
          <w:trHeight w:val="344"/>
        </w:trPr>
        <w:tc>
          <w:tcPr>
            <w:tcW w:w="580"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86"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847"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完成考试保障数量</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27</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34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申诉处理率</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34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服务企业数量</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51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完成申诉处理合格率</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51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完成考试保障工作合格率</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34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申诉处理时间</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34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回应企业服务时间</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683"/>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房屋运行维护支出</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36.57</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683"/>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车辆运行维护支出</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7.61</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683"/>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设备运行维护支出</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150.73</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683"/>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无线电监管差旅支出</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6.03</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6.01</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683"/>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val="restart"/>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847"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及时查处干扰，确保无线电秩序良好</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无线电秩序良好</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无线电秩序良好</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514"/>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847"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强化无线电安全保障</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有效保障</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有效保障</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852"/>
        </w:trPr>
        <w:tc>
          <w:tcPr>
            <w:tcW w:w="580" w:type="dxa"/>
            <w:vMerge/>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c>
          <w:tcPr>
            <w:tcW w:w="58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847"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1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服务单位及群众满意度</w:t>
            </w:r>
          </w:p>
        </w:tc>
        <w:tc>
          <w:tcPr>
            <w:tcW w:w="580"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58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1118"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111"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876"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714"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83" w:type="dxa"/>
            <w:tcBorders>
              <w:top w:val="single" w:sz="4" w:space="0" w:color="000000"/>
              <w:left w:val="single" w:sz="4" w:space="0" w:color="000000"/>
              <w:bottom w:val="nil"/>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008" w:type="dxa"/>
            <w:tcBorders>
              <w:top w:val="single" w:sz="4" w:space="0" w:color="000000"/>
              <w:left w:val="single" w:sz="4" w:space="0" w:color="000000"/>
              <w:bottom w:val="nil"/>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r w:rsidR="00CF2B20">
        <w:trPr>
          <w:trHeight w:val="181"/>
        </w:trPr>
        <w:tc>
          <w:tcPr>
            <w:tcW w:w="740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B24772">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98.05</w:t>
            </w:r>
          </w:p>
        </w:tc>
        <w:tc>
          <w:tcPr>
            <w:tcW w:w="10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B20" w:rsidRDefault="00CF2B20">
            <w:pPr>
              <w:jc w:val="center"/>
              <w:rPr>
                <w:rFonts w:ascii="宋体" w:hAnsi="宋体" w:cs="宋体"/>
                <w:color w:val="000000"/>
                <w:sz w:val="18"/>
                <w:szCs w:val="18"/>
              </w:rPr>
            </w:pPr>
          </w:p>
        </w:tc>
      </w:tr>
    </w:tbl>
    <w:p w:rsidR="00CF2B20" w:rsidRDefault="00CF2B20">
      <w:pPr>
        <w:pStyle w:val="a0"/>
        <w:ind w:firstLine="497"/>
      </w:pPr>
    </w:p>
    <w:p w:rsidR="00CF2B20" w:rsidRDefault="00CF2B20">
      <w:pPr>
        <w:pStyle w:val="a0"/>
        <w:ind w:firstLine="497"/>
      </w:pPr>
    </w:p>
    <w:p w:rsidR="00CF2B20" w:rsidRDefault="00CF2B20">
      <w:pPr>
        <w:widowControl/>
        <w:spacing w:before="240" w:after="240"/>
        <w:rPr>
          <w:rFonts w:eastAsia="Times New Roman"/>
          <w:kern w:val="0"/>
          <w:sz w:val="24"/>
        </w:rPr>
      </w:pPr>
    </w:p>
    <w:p w:rsidR="00CF2B20" w:rsidRDefault="00B24772">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（三）单位</w:t>
      </w:r>
      <w:bookmarkStart w:id="1" w:name="_GoBack"/>
      <w:bookmarkEnd w:id="1"/>
      <w:r>
        <w:rPr>
          <w:rFonts w:ascii="kai_ti_gb2312" w:eastAsia="kai_ti_gb2312" w:hAnsi="kai_ti_gb2312" w:cs="kai_ti_gb2312"/>
          <w:b/>
          <w:bCs/>
          <w:kern w:val="0"/>
          <w:sz w:val="27"/>
          <w:szCs w:val="27"/>
        </w:rPr>
        <w:t>项目绩效评价结果。</w:t>
      </w:r>
    </w:p>
    <w:p w:rsidR="00CF2B20" w:rsidRDefault="00B24772">
      <w:pPr>
        <w:widowControl/>
        <w:spacing w:before="240" w:after="240"/>
        <w:jc w:val="left"/>
        <w:rPr>
          <w:rFonts w:ascii="仿宋" w:eastAsia="仿宋" w:hAnsi="仿宋" w:cs="仿宋"/>
          <w:kern w:val="0"/>
          <w:sz w:val="32"/>
          <w:szCs w:val="32"/>
        </w:rPr>
      </w:pPr>
      <w:r>
        <w:rPr>
          <w:rFonts w:ascii="fang_song_gb2312" w:eastAsia="fang_song_gb2312" w:hAnsi="fang_song_gb2312" w:cs="fang_song_gb2312"/>
          <w:kern w:val="0"/>
          <w:sz w:val="27"/>
          <w:szCs w:val="27"/>
        </w:rPr>
        <w:t>   </w:t>
      </w:r>
      <w:r>
        <w:rPr>
          <w:rFonts w:ascii="仿宋" w:eastAsia="仿宋" w:hAnsi="仿宋" w:cs="仿宋" w:hint="eastAsia"/>
          <w:color w:val="000000"/>
          <w:kern w:val="0"/>
          <w:sz w:val="32"/>
          <w:szCs w:val="32"/>
        </w:rPr>
        <w:t>无线电监管项目</w:t>
      </w:r>
      <w:r>
        <w:rPr>
          <w:rFonts w:ascii="仿宋" w:eastAsia="仿宋" w:hAnsi="仿宋" w:cs="仿宋" w:hint="eastAsia"/>
          <w:kern w:val="0"/>
          <w:sz w:val="32"/>
          <w:szCs w:val="32"/>
        </w:rPr>
        <w:t>绩效评价综合得分为</w:t>
      </w:r>
      <w:r>
        <w:rPr>
          <w:rFonts w:ascii="仿宋" w:eastAsia="仿宋" w:hAnsi="仿宋" w:cs="仿宋" w:hint="eastAsia"/>
          <w:kern w:val="0"/>
          <w:sz w:val="32"/>
          <w:szCs w:val="32"/>
          <w:u w:val="single"/>
        </w:rPr>
        <w:t>99.99</w:t>
      </w:r>
      <w:r>
        <w:rPr>
          <w:rFonts w:ascii="仿宋" w:eastAsia="仿宋" w:hAnsi="仿宋" w:cs="仿宋" w:hint="eastAsia"/>
          <w:kern w:val="0"/>
          <w:sz w:val="32"/>
          <w:szCs w:val="32"/>
        </w:rPr>
        <w:t>分，绩效评价结果为“优”。</w:t>
      </w:r>
      <w:r>
        <w:rPr>
          <w:rFonts w:ascii="仿宋" w:eastAsia="仿宋" w:hAnsi="仿宋" w:cs="仿宋" w:hint="eastAsia"/>
          <w:color w:val="0E00FE"/>
          <w:kern w:val="0"/>
          <w:sz w:val="32"/>
          <w:szCs w:val="32"/>
        </w:rPr>
        <w:t> </w:t>
      </w:r>
    </w:p>
    <w:p w:rsidR="00CF2B20" w:rsidRDefault="00CF2B20">
      <w:pPr>
        <w:widowControl/>
        <w:spacing w:before="240" w:after="240"/>
        <w:jc w:val="left"/>
        <w:rPr>
          <w:rFonts w:eastAsia="Times New Roman"/>
          <w:kern w:val="0"/>
          <w:sz w:val="24"/>
        </w:rPr>
      </w:pPr>
    </w:p>
    <w:p w:rsidR="00CF2B20" w:rsidRDefault="00B24772">
      <w:pPr>
        <w:pStyle w:val="2"/>
        <w:keepNext w:val="0"/>
        <w:keepLines w:val="0"/>
        <w:widowControl/>
        <w:spacing w:before="299" w:after="299" w:line="240" w:lineRule="auto"/>
        <w:jc w:val="center"/>
        <w:rPr>
          <w:rFonts w:ascii="黑体" w:hAnsi="黑体" w:cs="黑体"/>
          <w:kern w:val="0"/>
          <w:sz w:val="36"/>
          <w:szCs w:val="36"/>
        </w:rPr>
      </w:pPr>
      <w:r>
        <w:rPr>
          <w:rFonts w:ascii="黑体" w:hAnsi="黑体" w:cs="黑体" w:hint="eastAsia"/>
          <w:kern w:val="0"/>
          <w:sz w:val="36"/>
          <w:szCs w:val="36"/>
        </w:rPr>
        <w:t>第三部分  名词解释</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一、财政拨款收入：</w:t>
      </w:r>
      <w:r>
        <w:rPr>
          <w:rFonts w:ascii="fang_song_gb2312" w:eastAsia="fang_song_gb2312" w:hAnsi="fang_song_gb2312" w:cs="fang_song_gb2312"/>
          <w:kern w:val="0"/>
          <w:sz w:val="27"/>
          <w:szCs w:val="27"/>
        </w:rPr>
        <w:t>从同级财政部门取得的各</w:t>
      </w:r>
      <w:proofErr w:type="gramStart"/>
      <w:r>
        <w:rPr>
          <w:rFonts w:ascii="fang_song_gb2312" w:eastAsia="fang_song_gb2312" w:hAnsi="fang_song_gb2312" w:cs="fang_song_gb2312"/>
          <w:kern w:val="0"/>
          <w:sz w:val="27"/>
          <w:szCs w:val="27"/>
        </w:rPr>
        <w:t>类财政</w:t>
      </w:r>
      <w:proofErr w:type="gramEnd"/>
      <w:r>
        <w:rPr>
          <w:rFonts w:ascii="fang_song_gb2312" w:eastAsia="fang_song_gb2312" w:hAnsi="fang_song_gb2312" w:cs="fang_song_gb2312"/>
          <w:kern w:val="0"/>
          <w:sz w:val="27"/>
          <w:szCs w:val="27"/>
        </w:rPr>
        <w:t>拨款，包括一般公共预算财政拨款、政府性基金预算财政拨款、国有资本经营预算财政拨款。</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lastRenderedPageBreak/>
        <w:t>    二、上级补助收入：</w:t>
      </w:r>
      <w:r>
        <w:rPr>
          <w:rFonts w:ascii="fang_song_gb2312" w:eastAsia="fang_song_gb2312" w:hAnsi="fang_song_gb2312" w:cs="fang_song_gb2312"/>
          <w:kern w:val="0"/>
          <w:sz w:val="27"/>
          <w:szCs w:val="27"/>
        </w:rPr>
        <w:t>指事业单位从主管部门和上级单位取得的非财政补助收入。</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三、财政专户管理教育收费：</w:t>
      </w:r>
      <w:r>
        <w:rPr>
          <w:rFonts w:ascii="fang_song_gb2312" w:eastAsia="fang_song_gb2312" w:hAnsi="fang_song_gb2312" w:cs="fang_song_gb2312"/>
          <w:kern w:val="0"/>
          <w:sz w:val="27"/>
          <w:szCs w:val="27"/>
        </w:rPr>
        <w:t>指缴入财政专户、实行专项管理的高中以上学费、住宿费、高校委托培养费、函大、电大、夜大及短训班培训费等教育收费。</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四、事业收入：</w:t>
      </w:r>
      <w:r>
        <w:rPr>
          <w:rFonts w:ascii="fang_song_gb2312" w:eastAsia="fang_song_gb2312" w:hAnsi="fang_song_gb2312" w:cs="fang_song_gb2312"/>
          <w:kern w:val="0"/>
          <w:sz w:val="27"/>
          <w:szCs w:val="27"/>
        </w:rPr>
        <w:t>指事业单位开展专业业务活动及其辅助活动取得的收入。</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五、经营收入：</w:t>
      </w:r>
      <w:r>
        <w:rPr>
          <w:rFonts w:ascii="fang_song_gb2312" w:eastAsia="fang_song_gb2312" w:hAnsi="fang_song_gb2312" w:cs="fang_song_gb2312"/>
          <w:kern w:val="0"/>
          <w:sz w:val="27"/>
          <w:szCs w:val="27"/>
        </w:rPr>
        <w:t>指事业单位在专业业务活动及其辅助活动之外开展非独立核算经营活动取得的收入。</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六、附属单位上缴收入：</w:t>
      </w:r>
      <w:r>
        <w:rPr>
          <w:rFonts w:ascii="fang_song_gb2312" w:eastAsia="fang_song_gb2312" w:hAnsi="fang_song_gb2312" w:cs="fang_song_gb2312"/>
          <w:kern w:val="0"/>
          <w:sz w:val="27"/>
          <w:szCs w:val="27"/>
        </w:rPr>
        <w:t>指事业单位取得附属独立核算单位按照有关规定上缴的收入。</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七、其他收入：</w:t>
      </w:r>
      <w:r>
        <w:rPr>
          <w:rFonts w:ascii="fang_song_gb2312" w:eastAsia="fang_song_gb2312" w:hAnsi="fang_song_gb2312" w:cs="fang_song_gb2312"/>
          <w:kern w:val="0"/>
          <w:sz w:val="27"/>
          <w:szCs w:val="27"/>
        </w:rPr>
        <w:t>取得的除上述“财政拨款收入”、“上级补助收入”、“事业收入”、“经营收入”、“附属单位上缴收入”等以外的各项收入。</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八、使用非财政拨款结余和专用结余：</w:t>
      </w:r>
      <w:r>
        <w:rPr>
          <w:rFonts w:ascii="fang_song_gb2312" w:eastAsia="fang_song_gb2312" w:hAnsi="fang_song_gb2312" w:cs="fang_song_gb2312"/>
          <w:kern w:val="0"/>
          <w:sz w:val="27"/>
          <w:szCs w:val="27"/>
        </w:rPr>
        <w:t>指事业单位按照预算管理要求使用非财政拨款结余和专用结余弥补当年收支差额的数额。</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九、年初结转和结余：</w:t>
      </w:r>
      <w:r>
        <w:rPr>
          <w:rFonts w:ascii="fang_song_gb2312" w:eastAsia="fang_song_gb2312" w:hAnsi="fang_song_gb2312" w:cs="fang_song_gb2312"/>
          <w:kern w:val="0"/>
          <w:sz w:val="27"/>
          <w:szCs w:val="27"/>
        </w:rPr>
        <w:t>指单位上年结转本年使用的基本支出结转、项目支出结转和结余、经营结余。</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十、结余分配：</w:t>
      </w:r>
      <w:r>
        <w:rPr>
          <w:rFonts w:ascii="fang_song_gb2312" w:eastAsia="fang_song_gb2312" w:hAnsi="fang_song_gb2312" w:cs="fang_song_gb2312"/>
          <w:kern w:val="0"/>
          <w:sz w:val="27"/>
          <w:szCs w:val="27"/>
        </w:rPr>
        <w:t>指事业单位按规定缴纳企业所得税以及从非财政拨款结余或经营结余中提取各类结余的情况。</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十一、年末结转和结余资金：</w:t>
      </w:r>
      <w:r>
        <w:rPr>
          <w:rFonts w:ascii="fang_song_gb2312" w:eastAsia="fang_song_gb2312" w:hAnsi="fang_song_gb2312" w:cs="fang_song_gb2312"/>
          <w:kern w:val="0"/>
          <w:sz w:val="27"/>
          <w:szCs w:val="27"/>
        </w:rPr>
        <w:t>指单位结转下年的基本支出结转、项目支出结转和结余、经营结余。</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lastRenderedPageBreak/>
        <w:t>    十二、基本支出：</w:t>
      </w:r>
      <w:r>
        <w:rPr>
          <w:rFonts w:ascii="fang_song_gb2312" w:eastAsia="fang_song_gb2312" w:hAnsi="fang_song_gb2312" w:cs="fang_song_gb2312"/>
          <w:kern w:val="0"/>
          <w:sz w:val="27"/>
          <w:szCs w:val="27"/>
        </w:rPr>
        <w:t>指为保障机构正常运转、完成日常工作任务所发生的支出，包括人员经费和公用经费。</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十三、项目支出：</w:t>
      </w:r>
      <w:r>
        <w:rPr>
          <w:rFonts w:ascii="fang_song_gb2312" w:eastAsia="fang_song_gb2312" w:hAnsi="fang_song_gb2312" w:cs="fang_song_gb2312"/>
          <w:kern w:val="0"/>
          <w:sz w:val="27"/>
          <w:szCs w:val="27"/>
        </w:rPr>
        <w:t>指在为完成特定的工作任务和事业发展目标所发生的支出。</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十四、上缴上级支出：</w:t>
      </w:r>
      <w:r>
        <w:rPr>
          <w:rFonts w:ascii="fang_song_gb2312" w:eastAsia="fang_song_gb2312" w:hAnsi="fang_song_gb2312" w:cs="fang_song_gb2312"/>
          <w:kern w:val="0"/>
          <w:sz w:val="27"/>
          <w:szCs w:val="27"/>
        </w:rPr>
        <w:t>指事业单位按照财政部门和主管部门的规定上缴上级单位的支出。</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十五、经营支出：</w:t>
      </w:r>
      <w:r>
        <w:rPr>
          <w:rFonts w:ascii="fang_song_gb2312" w:eastAsia="fang_song_gb2312" w:hAnsi="fang_song_gb2312" w:cs="fang_song_gb2312"/>
          <w:kern w:val="0"/>
          <w:sz w:val="27"/>
          <w:szCs w:val="27"/>
        </w:rPr>
        <w:t>指事业单位在专业业务活动及其辅助活动之外开展非独立核算经营活动发生的支出。</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十六、对附属单位补助支出：</w:t>
      </w:r>
      <w:r>
        <w:rPr>
          <w:rFonts w:ascii="fang_song_gb2312" w:eastAsia="fang_song_gb2312" w:hAnsi="fang_song_gb2312" w:cs="fang_song_gb2312"/>
          <w:kern w:val="0"/>
          <w:sz w:val="27"/>
          <w:szCs w:val="27"/>
        </w:rPr>
        <w:t>指事业单位用财政拨款收入之外的收入对附属单位补助发生的支出。</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十七、“三公”经费：</w:t>
      </w:r>
      <w:r>
        <w:rPr>
          <w:rFonts w:ascii="fang_song_gb2312" w:eastAsia="fang_song_gb2312" w:hAnsi="fang_song_gb2312" w:cs="fang_song_gb2312"/>
          <w:kern w:val="0"/>
          <w:sz w:val="27"/>
          <w:szCs w:val="27"/>
        </w:rPr>
        <w:t>指单位用财政拨款安排的因公出国（境）费、公务用车购置及运行维护费和公务接待费。其中，因公出国（境）</w:t>
      </w:r>
      <w:proofErr w:type="gramStart"/>
      <w:r>
        <w:rPr>
          <w:rFonts w:ascii="fang_song_gb2312" w:eastAsia="fang_song_gb2312" w:hAnsi="fang_song_gb2312" w:cs="fang_song_gb2312"/>
          <w:kern w:val="0"/>
          <w:sz w:val="27"/>
          <w:szCs w:val="27"/>
        </w:rPr>
        <w:t>费反映</w:t>
      </w:r>
      <w:proofErr w:type="gramEnd"/>
      <w:r>
        <w:rPr>
          <w:rFonts w:ascii="fang_song_gb2312" w:eastAsia="fang_song_gb2312" w:hAnsi="fang_song_gb2312" w:cs="fang_song_gb2312"/>
          <w:kern w:val="0"/>
          <w:sz w:val="27"/>
          <w:szCs w:val="27"/>
        </w:rPr>
        <w:t>单位公务出国（境）的国际旅费、国外城市间交通费、住宿费、伙食费、培训费、公杂费等支出；公务用车购置及运行维护费反映单位公务用车购置支出（</w:t>
      </w:r>
      <w:proofErr w:type="gramStart"/>
      <w:r>
        <w:rPr>
          <w:rFonts w:ascii="fang_song_gb2312" w:eastAsia="fang_song_gb2312" w:hAnsi="fang_song_gb2312" w:cs="fang_song_gb2312"/>
          <w:kern w:val="0"/>
          <w:sz w:val="27"/>
          <w:szCs w:val="27"/>
        </w:rPr>
        <w:t>含车辆</w:t>
      </w:r>
      <w:proofErr w:type="gramEnd"/>
      <w:r>
        <w:rPr>
          <w:rFonts w:ascii="fang_song_gb2312" w:eastAsia="fang_song_gb2312" w:hAnsi="fang_song_gb2312" w:cs="fang_song_gb2312"/>
          <w:kern w:val="0"/>
          <w:sz w:val="27"/>
          <w:szCs w:val="27"/>
        </w:rPr>
        <w:t>购置税、牌照费）以及按规定保留的公务用车燃料费、维修费、过路过桥费、保险费、安全奖励费用等支出；公务接待</w:t>
      </w:r>
      <w:proofErr w:type="gramStart"/>
      <w:r>
        <w:rPr>
          <w:rFonts w:ascii="fang_song_gb2312" w:eastAsia="fang_song_gb2312" w:hAnsi="fang_song_gb2312" w:cs="fang_song_gb2312"/>
          <w:kern w:val="0"/>
          <w:sz w:val="27"/>
          <w:szCs w:val="27"/>
        </w:rPr>
        <w:t>费反映</w:t>
      </w:r>
      <w:proofErr w:type="gramEnd"/>
      <w:r>
        <w:rPr>
          <w:rFonts w:ascii="fang_song_gb2312" w:eastAsia="fang_song_gb2312" w:hAnsi="fang_song_gb2312" w:cs="fang_song_gb2312"/>
          <w:kern w:val="0"/>
          <w:sz w:val="27"/>
          <w:szCs w:val="27"/>
        </w:rPr>
        <w:t>单位按规定开支的各类公务接待（含外宾接待）费用。</w:t>
      </w: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b/>
          <w:bCs/>
          <w:kern w:val="0"/>
          <w:sz w:val="27"/>
          <w:szCs w:val="27"/>
        </w:rPr>
        <w:t>    十八、机构运行经费：</w:t>
      </w:r>
      <w:r>
        <w:rPr>
          <w:rFonts w:ascii="fang_song_gb2312" w:eastAsia="fang_song_gb2312" w:hAnsi="fang_song_gb2312" w:cs="fang_song_gb2312"/>
          <w:kern w:val="0"/>
          <w:sz w:val="27"/>
          <w:szCs w:val="27"/>
        </w:rPr>
        <w:t>指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CF2B20" w:rsidRDefault="00CF2B20">
      <w:pPr>
        <w:widowControl/>
        <w:spacing w:before="240" w:after="240"/>
        <w:jc w:val="left"/>
        <w:rPr>
          <w:rFonts w:eastAsia="Times New Roman"/>
          <w:kern w:val="0"/>
          <w:sz w:val="24"/>
        </w:rPr>
      </w:pPr>
    </w:p>
    <w:p w:rsidR="00CF2B20" w:rsidRDefault="00B24772">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黑体" w:hAnsi="黑体" w:cs="黑体" w:hint="eastAsia"/>
          <w:kern w:val="0"/>
          <w:sz w:val="36"/>
          <w:szCs w:val="36"/>
        </w:rPr>
        <w:lastRenderedPageBreak/>
        <w:t>第四部分 决算公开联系方式及信息反馈渠道</w:t>
      </w:r>
    </w:p>
    <w:p w:rsidR="00CF2B20" w:rsidRDefault="00CF2B20">
      <w:pPr>
        <w:widowControl/>
        <w:spacing w:before="240" w:after="240"/>
        <w:jc w:val="left"/>
        <w:rPr>
          <w:rFonts w:eastAsia="Times New Roman"/>
          <w:kern w:val="0"/>
          <w:sz w:val="24"/>
        </w:rPr>
      </w:pPr>
    </w:p>
    <w:p w:rsidR="00CF2B20" w:rsidRDefault="00B24772">
      <w:pPr>
        <w:widowControl/>
        <w:spacing w:before="240" w:after="240"/>
        <w:jc w:val="left"/>
        <w:rPr>
          <w:rFonts w:ascii="仿宋" w:eastAsia="仿宋" w:hAnsi="仿宋" w:cs="仿宋"/>
          <w:kern w:val="0"/>
          <w:sz w:val="32"/>
          <w:szCs w:val="32"/>
        </w:rPr>
      </w:pPr>
      <w:r>
        <w:rPr>
          <w:rFonts w:ascii="fang_song_gb2312" w:eastAsia="fang_song_gb2312" w:hAnsi="fang_song_gb2312" w:cs="fang_song_gb2312"/>
          <w:kern w:val="0"/>
          <w:sz w:val="27"/>
          <w:szCs w:val="27"/>
        </w:rPr>
        <w:t xml:space="preserve">  </w:t>
      </w:r>
      <w:r>
        <w:rPr>
          <w:rFonts w:ascii="仿宋" w:eastAsia="仿宋" w:hAnsi="仿宋" w:cs="仿宋" w:hint="eastAsia"/>
          <w:kern w:val="0"/>
          <w:sz w:val="32"/>
          <w:szCs w:val="32"/>
        </w:rPr>
        <w:t>  本单位决算公开信息反馈和联系方式：</w:t>
      </w:r>
    </w:p>
    <w:p w:rsidR="00CF2B20" w:rsidRDefault="00B24772">
      <w:pPr>
        <w:widowControl/>
        <w:spacing w:before="240" w:after="240"/>
        <w:jc w:val="left"/>
        <w:rPr>
          <w:rFonts w:eastAsia="Times New Roman"/>
          <w:kern w:val="0"/>
          <w:sz w:val="24"/>
        </w:rPr>
      </w:pPr>
      <w:r>
        <w:rPr>
          <w:rFonts w:ascii="仿宋" w:eastAsia="仿宋" w:hAnsi="仿宋" w:cs="仿宋" w:hint="eastAsia"/>
          <w:kern w:val="0"/>
          <w:sz w:val="32"/>
          <w:szCs w:val="32"/>
        </w:rPr>
        <w:t>    联系人：</w:t>
      </w:r>
      <w:r>
        <w:rPr>
          <w:rFonts w:ascii="仿宋" w:eastAsia="仿宋" w:hAnsi="仿宋" w:cs="仿宋" w:hint="eastAsia"/>
          <w:kern w:val="0"/>
          <w:sz w:val="32"/>
          <w:szCs w:val="32"/>
          <w:u w:val="single"/>
        </w:rPr>
        <w:t xml:space="preserve">刘建华 </w:t>
      </w:r>
      <w:r>
        <w:rPr>
          <w:rFonts w:ascii="仿宋" w:eastAsia="仿宋" w:hAnsi="仿宋" w:cs="仿宋" w:hint="eastAsia"/>
          <w:kern w:val="0"/>
          <w:sz w:val="32"/>
          <w:szCs w:val="32"/>
        </w:rPr>
        <w:t>          联系电话：0479-8209960</w:t>
      </w:r>
      <w:r>
        <w:rPr>
          <w:rFonts w:ascii="fang_song_gb2312" w:eastAsia="fang_song_gb2312" w:hAnsi="fang_song_gb2312" w:cs="fang_song_gb2312"/>
          <w:kern w:val="0"/>
          <w:sz w:val="27"/>
          <w:szCs w:val="27"/>
        </w:rPr>
        <w:t> </w:t>
      </w:r>
    </w:p>
    <w:p w:rsidR="00CF2B20" w:rsidRDefault="00CF2B20">
      <w:pPr>
        <w:widowControl/>
        <w:spacing w:before="240" w:after="240"/>
        <w:jc w:val="left"/>
        <w:rPr>
          <w:rFonts w:eastAsia="Times New Roman"/>
          <w:kern w:val="0"/>
          <w:sz w:val="24"/>
        </w:rPr>
      </w:pPr>
    </w:p>
    <w:p w:rsidR="00CF2B20" w:rsidRDefault="00B24772">
      <w:pPr>
        <w:widowControl/>
        <w:spacing w:before="240" w:after="240"/>
        <w:jc w:val="center"/>
        <w:rPr>
          <w:rFonts w:ascii="黑体" w:eastAsia="黑体" w:hAnsi="黑体" w:cs="黑体"/>
          <w:kern w:val="0"/>
          <w:sz w:val="36"/>
          <w:szCs w:val="36"/>
        </w:rPr>
      </w:pPr>
      <w:r>
        <w:rPr>
          <w:rFonts w:ascii="黑体" w:eastAsia="黑体" w:hAnsi="黑体" w:cs="黑体" w:hint="eastAsia"/>
          <w:b/>
          <w:bCs/>
          <w:kern w:val="0"/>
          <w:sz w:val="36"/>
          <w:szCs w:val="36"/>
        </w:rPr>
        <w:t>第五部分 部门（单位）决算表</w:t>
      </w:r>
    </w:p>
    <w:p w:rsidR="00CF2B20" w:rsidRDefault="00CF2B20">
      <w:pPr>
        <w:widowControl/>
        <w:spacing w:before="240" w:after="240"/>
        <w:jc w:val="center"/>
        <w:rPr>
          <w:rFonts w:eastAsia="Times New Roman"/>
          <w:kern w:val="0"/>
          <w:sz w:val="24"/>
        </w:rPr>
      </w:pPr>
    </w:p>
    <w:p w:rsidR="00CF2B20" w:rsidRDefault="00B24772">
      <w:pPr>
        <w:widowControl/>
        <w:spacing w:before="240" w:after="240"/>
        <w:jc w:val="left"/>
        <w:rPr>
          <w:rFonts w:eastAsia="Times New Roman"/>
          <w:kern w:val="0"/>
          <w:sz w:val="24"/>
        </w:rPr>
      </w:pPr>
      <w:r>
        <w:rPr>
          <w:rFonts w:ascii="fang_song_gb2312" w:eastAsia="fang_song_gb2312" w:hAnsi="fang_song_gb2312" w:cs="fang_song_gb2312"/>
          <w:kern w:val="0"/>
          <w:sz w:val="27"/>
          <w:szCs w:val="27"/>
        </w:rPr>
        <w:t>    见附件。</w:t>
      </w:r>
    </w:p>
    <w:bookmarkEnd w:id="0"/>
    <w:p w:rsidR="00CF2B20" w:rsidRDefault="00CF2B20">
      <w:pPr>
        <w:tabs>
          <w:tab w:val="left" w:pos="8415"/>
        </w:tabs>
      </w:pPr>
    </w:p>
    <w:p w:rsidR="00CF2B20" w:rsidRDefault="00CF2B20">
      <w:pPr>
        <w:pStyle w:val="a0"/>
      </w:pPr>
    </w:p>
    <w:sectPr w:rsidR="00CF2B20" w:rsidSect="00CF2B20">
      <w:headerReference w:type="default" r:id="rId11"/>
      <w:footerReference w:type="default" r:id="rId12"/>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A53" w:rsidRDefault="006D4A53" w:rsidP="00CF2B20">
      <w:r>
        <w:separator/>
      </w:r>
    </w:p>
  </w:endnote>
  <w:endnote w:type="continuationSeparator" w:id="0">
    <w:p w:rsidR="006D4A53" w:rsidRDefault="006D4A53" w:rsidP="00CF2B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fang_song_gb2312">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kai_ti_gb2312">
    <w:altName w:val="Segoe Print"/>
    <w:charset w:val="00"/>
    <w:family w:val="auto"/>
    <w:pitch w:val="default"/>
    <w:sig w:usb0="00000000" w:usb1="00000000" w:usb2="00000000" w:usb3="00000000" w:csb0="00000000" w:csb1="00000000"/>
  </w:font>
  <w:font w:name="Times New Roman Regular">
    <w:altName w:val="Times New Roman"/>
    <w:charset w:val="00"/>
    <w:family w:val="auto"/>
    <w:pitch w:val="default"/>
    <w:sig w:usb0="00000000" w:usb1="00000000" w:usb2="00000001" w:usb3="00000000" w:csb0="400001BF" w:csb1="DFF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B20" w:rsidRDefault="00B86241">
    <w:pPr>
      <w:pStyle w:val="a6"/>
      <w:jc w:val="center"/>
    </w:pPr>
    <w:r w:rsidRPr="00B86241">
      <w:fldChar w:fldCharType="begin"/>
    </w:r>
    <w:r w:rsidR="00B24772">
      <w:instrText xml:space="preserve"> PAGE   \* MERGEFORMAT </w:instrText>
    </w:r>
    <w:r w:rsidRPr="00B86241">
      <w:fldChar w:fldCharType="separate"/>
    </w:r>
    <w:r w:rsidR="0068712F" w:rsidRPr="0068712F">
      <w:rPr>
        <w:noProof/>
        <w:lang w:val="zh-CN"/>
      </w:rPr>
      <w:t>7</w:t>
    </w:r>
    <w:r>
      <w:rPr>
        <w:lang w:val="zh-CN"/>
      </w:rPr>
      <w:fldChar w:fldCharType="end"/>
    </w:r>
  </w:p>
  <w:p w:rsidR="00CF2B20" w:rsidRDefault="00CF2B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A53" w:rsidRDefault="006D4A53" w:rsidP="00CF2B20">
      <w:r>
        <w:separator/>
      </w:r>
    </w:p>
  </w:footnote>
  <w:footnote w:type="continuationSeparator" w:id="0">
    <w:p w:rsidR="006D4A53" w:rsidRDefault="006D4A53" w:rsidP="00CF2B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B20" w:rsidRDefault="00CF2B20">
    <w:pPr>
      <w:ind w:left="6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6BFE50"/>
    <w:multiLevelType w:val="singleLevel"/>
    <w:tmpl w:val="BD6BFE50"/>
    <w:lvl w:ilvl="0">
      <w:start w:val="14"/>
      <w:numFmt w:val="chineseCounting"/>
      <w:suff w:val="nothing"/>
      <w:lvlText w:val="%1、"/>
      <w:lvlJc w:val="left"/>
      <w:pPr>
        <w:ind w:left="418" w:firstLine="0"/>
      </w:pPr>
      <w:rPr>
        <w:rFonts w:hint="eastAsia"/>
      </w:rPr>
    </w:lvl>
  </w:abstractNum>
  <w:abstractNum w:abstractNumId="1">
    <w:nsid w:val="E87331EB"/>
    <w:multiLevelType w:val="singleLevel"/>
    <w:tmpl w:val="E87331EB"/>
    <w:lvl w:ilvl="0">
      <w:start w:val="1"/>
      <w:numFmt w:val="decimal"/>
      <w:suff w:val="nothing"/>
      <w:lvlText w:val="%1．"/>
      <w:lvlJc w:val="left"/>
      <w:pPr>
        <w:ind w:left="497"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mYzZWJlMTllMjcwYzAzOTUyOWFjMTcxNWZlYzBkYzMifQ=="/>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C4C3B"/>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8712F"/>
    <w:rsid w:val="006C017F"/>
    <w:rsid w:val="006D4A53"/>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4772"/>
    <w:rsid w:val="00B27D51"/>
    <w:rsid w:val="00B32BEE"/>
    <w:rsid w:val="00B373AF"/>
    <w:rsid w:val="00B4208A"/>
    <w:rsid w:val="00B57D7A"/>
    <w:rsid w:val="00B76620"/>
    <w:rsid w:val="00B840CE"/>
    <w:rsid w:val="00B86241"/>
    <w:rsid w:val="00B96C3D"/>
    <w:rsid w:val="00BD0928"/>
    <w:rsid w:val="00BE5F73"/>
    <w:rsid w:val="00BF4228"/>
    <w:rsid w:val="00C07A30"/>
    <w:rsid w:val="00C352FF"/>
    <w:rsid w:val="00C44231"/>
    <w:rsid w:val="00CC6B8B"/>
    <w:rsid w:val="00CD3751"/>
    <w:rsid w:val="00CF2B20"/>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0179546C"/>
    <w:rsid w:val="01DF3A59"/>
    <w:rsid w:val="01ED4CE8"/>
    <w:rsid w:val="030B7B8C"/>
    <w:rsid w:val="0373691E"/>
    <w:rsid w:val="03DD6D9F"/>
    <w:rsid w:val="04053608"/>
    <w:rsid w:val="042F7201"/>
    <w:rsid w:val="05322502"/>
    <w:rsid w:val="05A575DC"/>
    <w:rsid w:val="05A905EC"/>
    <w:rsid w:val="067A2003"/>
    <w:rsid w:val="06E1255B"/>
    <w:rsid w:val="06ED3DAE"/>
    <w:rsid w:val="08BD20E2"/>
    <w:rsid w:val="08DF6E02"/>
    <w:rsid w:val="08F90017"/>
    <w:rsid w:val="094E006F"/>
    <w:rsid w:val="0C103053"/>
    <w:rsid w:val="0CA535B9"/>
    <w:rsid w:val="0D3E639A"/>
    <w:rsid w:val="0E4D3588"/>
    <w:rsid w:val="0E664FCA"/>
    <w:rsid w:val="0F306334"/>
    <w:rsid w:val="0F677498"/>
    <w:rsid w:val="0F8751F8"/>
    <w:rsid w:val="0FAB0C6A"/>
    <w:rsid w:val="1031769C"/>
    <w:rsid w:val="118F7ADB"/>
    <w:rsid w:val="119328C6"/>
    <w:rsid w:val="12096424"/>
    <w:rsid w:val="124D3482"/>
    <w:rsid w:val="12D26CF5"/>
    <w:rsid w:val="133B4F65"/>
    <w:rsid w:val="13521C64"/>
    <w:rsid w:val="13E96481"/>
    <w:rsid w:val="15C106D7"/>
    <w:rsid w:val="15E24397"/>
    <w:rsid w:val="176B37A0"/>
    <w:rsid w:val="179A72C4"/>
    <w:rsid w:val="17DC22E8"/>
    <w:rsid w:val="18B81128"/>
    <w:rsid w:val="19DA1208"/>
    <w:rsid w:val="1A126467"/>
    <w:rsid w:val="1B35657C"/>
    <w:rsid w:val="1B373B51"/>
    <w:rsid w:val="1B456EA7"/>
    <w:rsid w:val="1D462DA4"/>
    <w:rsid w:val="1E8A5FA4"/>
    <w:rsid w:val="1EE93359"/>
    <w:rsid w:val="1F197B00"/>
    <w:rsid w:val="1F441696"/>
    <w:rsid w:val="1F9F0168"/>
    <w:rsid w:val="20582DCE"/>
    <w:rsid w:val="210A1F7E"/>
    <w:rsid w:val="213A64E1"/>
    <w:rsid w:val="21867A05"/>
    <w:rsid w:val="225514BB"/>
    <w:rsid w:val="228F4698"/>
    <w:rsid w:val="23735D67"/>
    <w:rsid w:val="23AE4FF1"/>
    <w:rsid w:val="23B6064F"/>
    <w:rsid w:val="23FE7EAC"/>
    <w:rsid w:val="24262DDA"/>
    <w:rsid w:val="249A09DF"/>
    <w:rsid w:val="257F1390"/>
    <w:rsid w:val="26B1141E"/>
    <w:rsid w:val="275952B6"/>
    <w:rsid w:val="27E36678"/>
    <w:rsid w:val="28934BBC"/>
    <w:rsid w:val="28F3430F"/>
    <w:rsid w:val="28F35B5E"/>
    <w:rsid w:val="2973086F"/>
    <w:rsid w:val="297A100D"/>
    <w:rsid w:val="29F70701"/>
    <w:rsid w:val="29FC783B"/>
    <w:rsid w:val="2AE41A12"/>
    <w:rsid w:val="2B4F3741"/>
    <w:rsid w:val="2BC075E5"/>
    <w:rsid w:val="2BDD1CF1"/>
    <w:rsid w:val="2C401A81"/>
    <w:rsid w:val="2C862C9E"/>
    <w:rsid w:val="2D2A71CA"/>
    <w:rsid w:val="2D6E3104"/>
    <w:rsid w:val="2E684A3C"/>
    <w:rsid w:val="2EAE4C37"/>
    <w:rsid w:val="304A3392"/>
    <w:rsid w:val="307B3AB3"/>
    <w:rsid w:val="31A1712E"/>
    <w:rsid w:val="31E33AFB"/>
    <w:rsid w:val="322272D6"/>
    <w:rsid w:val="322C1F03"/>
    <w:rsid w:val="328758F4"/>
    <w:rsid w:val="32A81CAF"/>
    <w:rsid w:val="331105EF"/>
    <w:rsid w:val="335E60EC"/>
    <w:rsid w:val="33FF60A9"/>
    <w:rsid w:val="34755252"/>
    <w:rsid w:val="348B0CDA"/>
    <w:rsid w:val="34C815C4"/>
    <w:rsid w:val="34F10B8C"/>
    <w:rsid w:val="350D5C51"/>
    <w:rsid w:val="35A86F28"/>
    <w:rsid w:val="35E76CF9"/>
    <w:rsid w:val="364C2B74"/>
    <w:rsid w:val="37F52591"/>
    <w:rsid w:val="385A6344"/>
    <w:rsid w:val="386F2FDB"/>
    <w:rsid w:val="39A82234"/>
    <w:rsid w:val="3A0F0030"/>
    <w:rsid w:val="3A9E3272"/>
    <w:rsid w:val="3B295232"/>
    <w:rsid w:val="3BF36D6C"/>
    <w:rsid w:val="3CA3164A"/>
    <w:rsid w:val="3CC3377D"/>
    <w:rsid w:val="3CCE1BE7"/>
    <w:rsid w:val="3F411B4D"/>
    <w:rsid w:val="413C37E5"/>
    <w:rsid w:val="41432030"/>
    <w:rsid w:val="415E53A4"/>
    <w:rsid w:val="41EB2168"/>
    <w:rsid w:val="421A11F2"/>
    <w:rsid w:val="43A30BE8"/>
    <w:rsid w:val="43AF0D0F"/>
    <w:rsid w:val="449F47B6"/>
    <w:rsid w:val="4519777D"/>
    <w:rsid w:val="456641F1"/>
    <w:rsid w:val="479A7B26"/>
    <w:rsid w:val="486B0087"/>
    <w:rsid w:val="48A033D2"/>
    <w:rsid w:val="492A0587"/>
    <w:rsid w:val="4A314103"/>
    <w:rsid w:val="4A3546F0"/>
    <w:rsid w:val="4AD866BE"/>
    <w:rsid w:val="4B301862"/>
    <w:rsid w:val="4B571947"/>
    <w:rsid w:val="4C7C64D6"/>
    <w:rsid w:val="4CCF375F"/>
    <w:rsid w:val="4D317F9E"/>
    <w:rsid w:val="4E6A720C"/>
    <w:rsid w:val="4FD824CD"/>
    <w:rsid w:val="50F33774"/>
    <w:rsid w:val="50F41979"/>
    <w:rsid w:val="52AB2578"/>
    <w:rsid w:val="53DB6DBC"/>
    <w:rsid w:val="55664F48"/>
    <w:rsid w:val="55BA11BE"/>
    <w:rsid w:val="575703CF"/>
    <w:rsid w:val="57903F94"/>
    <w:rsid w:val="57DE24D8"/>
    <w:rsid w:val="57FB5D50"/>
    <w:rsid w:val="581C02DA"/>
    <w:rsid w:val="5AA546EB"/>
    <w:rsid w:val="5AD20EDA"/>
    <w:rsid w:val="5B6065F6"/>
    <w:rsid w:val="5B920779"/>
    <w:rsid w:val="5BD54974"/>
    <w:rsid w:val="5CB74058"/>
    <w:rsid w:val="5CBB5DB3"/>
    <w:rsid w:val="5D5102C6"/>
    <w:rsid w:val="5E40270F"/>
    <w:rsid w:val="61E84BD9"/>
    <w:rsid w:val="61F67F16"/>
    <w:rsid w:val="62B93FBA"/>
    <w:rsid w:val="630D479D"/>
    <w:rsid w:val="633B4779"/>
    <w:rsid w:val="645558B7"/>
    <w:rsid w:val="652C179E"/>
    <w:rsid w:val="65DD135E"/>
    <w:rsid w:val="66BC48FC"/>
    <w:rsid w:val="68AA2340"/>
    <w:rsid w:val="694865B0"/>
    <w:rsid w:val="69742F06"/>
    <w:rsid w:val="69C46C54"/>
    <w:rsid w:val="6AAB2303"/>
    <w:rsid w:val="6B022AFD"/>
    <w:rsid w:val="6C51109E"/>
    <w:rsid w:val="6D15010C"/>
    <w:rsid w:val="6D2D36EB"/>
    <w:rsid w:val="6E2B29E0"/>
    <w:rsid w:val="6EFF182A"/>
    <w:rsid w:val="6FB94894"/>
    <w:rsid w:val="70C13164"/>
    <w:rsid w:val="70EB3319"/>
    <w:rsid w:val="70F659F6"/>
    <w:rsid w:val="71283320"/>
    <w:rsid w:val="71387212"/>
    <w:rsid w:val="72C8339C"/>
    <w:rsid w:val="730C78D4"/>
    <w:rsid w:val="73264C5B"/>
    <w:rsid w:val="74D601B2"/>
    <w:rsid w:val="75954B61"/>
    <w:rsid w:val="76604D06"/>
    <w:rsid w:val="76CE0E7B"/>
    <w:rsid w:val="76FA11CE"/>
    <w:rsid w:val="772E4021"/>
    <w:rsid w:val="77C44519"/>
    <w:rsid w:val="77E85551"/>
    <w:rsid w:val="794065A6"/>
    <w:rsid w:val="7A84482D"/>
    <w:rsid w:val="7B8B4B71"/>
    <w:rsid w:val="7C8C44A5"/>
    <w:rsid w:val="7CBC05CB"/>
    <w:rsid w:val="7D241535"/>
    <w:rsid w:val="7D5F22CA"/>
    <w:rsid w:val="7DF56FAA"/>
    <w:rsid w:val="7DFA4230"/>
    <w:rsid w:val="7E885398"/>
    <w:rsid w:val="7EA47B7B"/>
    <w:rsid w:val="7F6A6BC5"/>
    <w:rsid w:val="7F897B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F2B20"/>
    <w:pPr>
      <w:widowControl w:val="0"/>
      <w:jc w:val="both"/>
    </w:pPr>
    <w:rPr>
      <w:kern w:val="2"/>
      <w:sz w:val="21"/>
      <w:szCs w:val="24"/>
    </w:rPr>
  </w:style>
  <w:style w:type="paragraph" w:styleId="1">
    <w:name w:val="heading 1"/>
    <w:basedOn w:val="a"/>
    <w:next w:val="a"/>
    <w:qFormat/>
    <w:rsid w:val="00CF2B20"/>
    <w:pPr>
      <w:keepNext/>
      <w:keepLines/>
      <w:spacing w:before="340" w:after="330" w:line="578" w:lineRule="auto"/>
      <w:outlineLvl w:val="0"/>
    </w:pPr>
    <w:rPr>
      <w:b/>
      <w:bCs/>
      <w:kern w:val="44"/>
      <w:sz w:val="44"/>
      <w:szCs w:val="44"/>
    </w:rPr>
  </w:style>
  <w:style w:type="paragraph" w:styleId="2">
    <w:name w:val="heading 2"/>
    <w:basedOn w:val="a"/>
    <w:next w:val="a"/>
    <w:qFormat/>
    <w:rsid w:val="00CF2B2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F2B20"/>
    <w:pPr>
      <w:keepNext/>
      <w:keepLines/>
      <w:spacing w:before="260" w:after="260" w:line="416" w:lineRule="auto"/>
      <w:outlineLvl w:val="2"/>
    </w:pPr>
    <w:rPr>
      <w:b/>
      <w:bCs/>
      <w:sz w:val="32"/>
      <w:szCs w:val="32"/>
    </w:rPr>
  </w:style>
  <w:style w:type="paragraph" w:styleId="4">
    <w:name w:val="heading 4"/>
    <w:basedOn w:val="a"/>
    <w:next w:val="a"/>
    <w:link w:val="4Char"/>
    <w:qFormat/>
    <w:rsid w:val="00CF2B20"/>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
    <w:basedOn w:val="a"/>
    <w:qFormat/>
    <w:rsid w:val="00CF2B20"/>
    <w:pPr>
      <w:autoSpaceDE w:val="0"/>
      <w:autoSpaceDN w:val="0"/>
      <w:jc w:val="center"/>
      <w:textAlignment w:val="baseline"/>
    </w:pPr>
    <w:rPr>
      <w:rFonts w:ascii="楷体_GB2312" w:eastAsia="楷体_GB2312" w:hAnsi="宋体"/>
      <w:color w:val="000000"/>
      <w:kern w:val="0"/>
      <w:sz w:val="24"/>
    </w:rPr>
  </w:style>
  <w:style w:type="paragraph" w:styleId="7">
    <w:name w:val="toc 7"/>
    <w:basedOn w:val="a"/>
    <w:next w:val="a"/>
    <w:qFormat/>
    <w:rsid w:val="00CF2B20"/>
    <w:pPr>
      <w:ind w:left="1260"/>
      <w:jc w:val="left"/>
    </w:pPr>
    <w:rPr>
      <w:sz w:val="20"/>
      <w:szCs w:val="20"/>
    </w:rPr>
  </w:style>
  <w:style w:type="paragraph" w:styleId="a4">
    <w:name w:val="Document Map"/>
    <w:basedOn w:val="a"/>
    <w:qFormat/>
    <w:rsid w:val="00CF2B20"/>
    <w:pPr>
      <w:shd w:val="clear" w:color="auto" w:fill="000080"/>
    </w:pPr>
  </w:style>
  <w:style w:type="paragraph" w:styleId="a5">
    <w:name w:val="Body Text Indent"/>
    <w:basedOn w:val="a"/>
    <w:qFormat/>
    <w:rsid w:val="00CF2B20"/>
    <w:pPr>
      <w:spacing w:after="120"/>
      <w:ind w:leftChars="200" w:left="420"/>
      <w:jc w:val="left"/>
    </w:pPr>
    <w:rPr>
      <w:rFonts w:ascii="宋体" w:hAnsi="宋体" w:hint="eastAsia"/>
      <w:kern w:val="0"/>
      <w:sz w:val="24"/>
    </w:rPr>
  </w:style>
  <w:style w:type="paragraph" w:styleId="5">
    <w:name w:val="toc 5"/>
    <w:basedOn w:val="a"/>
    <w:next w:val="a"/>
    <w:qFormat/>
    <w:rsid w:val="00CF2B20"/>
    <w:pPr>
      <w:ind w:left="840"/>
      <w:jc w:val="left"/>
    </w:pPr>
    <w:rPr>
      <w:sz w:val="20"/>
      <w:szCs w:val="20"/>
    </w:rPr>
  </w:style>
  <w:style w:type="paragraph" w:styleId="30">
    <w:name w:val="toc 3"/>
    <w:basedOn w:val="a"/>
    <w:next w:val="a"/>
    <w:qFormat/>
    <w:rsid w:val="00CF2B20"/>
    <w:pPr>
      <w:adjustRightInd w:val="0"/>
      <w:snapToGrid w:val="0"/>
      <w:spacing w:line="360" w:lineRule="auto"/>
      <w:ind w:firstLineChars="400" w:firstLine="400"/>
      <w:jc w:val="left"/>
    </w:pPr>
    <w:rPr>
      <w:sz w:val="24"/>
      <w:szCs w:val="20"/>
    </w:rPr>
  </w:style>
  <w:style w:type="paragraph" w:styleId="8">
    <w:name w:val="toc 8"/>
    <w:basedOn w:val="a"/>
    <w:next w:val="a"/>
    <w:qFormat/>
    <w:rsid w:val="00CF2B20"/>
    <w:pPr>
      <w:ind w:left="1470"/>
      <w:jc w:val="left"/>
    </w:pPr>
    <w:rPr>
      <w:sz w:val="20"/>
      <w:szCs w:val="20"/>
    </w:rPr>
  </w:style>
  <w:style w:type="paragraph" w:styleId="a6">
    <w:name w:val="footer"/>
    <w:basedOn w:val="a"/>
    <w:link w:val="Char"/>
    <w:qFormat/>
    <w:rsid w:val="00CF2B20"/>
    <w:pPr>
      <w:tabs>
        <w:tab w:val="center" w:pos="4153"/>
        <w:tab w:val="right" w:pos="8306"/>
      </w:tabs>
      <w:snapToGrid w:val="0"/>
      <w:jc w:val="left"/>
    </w:pPr>
    <w:rPr>
      <w:sz w:val="18"/>
      <w:szCs w:val="18"/>
    </w:rPr>
  </w:style>
  <w:style w:type="paragraph" w:styleId="a7">
    <w:name w:val="header"/>
    <w:basedOn w:val="a"/>
    <w:qFormat/>
    <w:rsid w:val="00CF2B20"/>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CF2B20"/>
    <w:pPr>
      <w:adjustRightInd w:val="0"/>
      <w:snapToGrid w:val="0"/>
      <w:spacing w:line="360" w:lineRule="auto"/>
      <w:jc w:val="left"/>
    </w:pPr>
    <w:rPr>
      <w:b/>
      <w:bCs/>
      <w:sz w:val="24"/>
      <w:szCs w:val="20"/>
    </w:rPr>
  </w:style>
  <w:style w:type="paragraph" w:styleId="40">
    <w:name w:val="toc 4"/>
    <w:basedOn w:val="a"/>
    <w:next w:val="a"/>
    <w:qFormat/>
    <w:rsid w:val="00CF2B20"/>
    <w:pPr>
      <w:ind w:left="630"/>
      <w:jc w:val="left"/>
    </w:pPr>
    <w:rPr>
      <w:sz w:val="20"/>
      <w:szCs w:val="20"/>
    </w:rPr>
  </w:style>
  <w:style w:type="paragraph" w:styleId="6">
    <w:name w:val="toc 6"/>
    <w:basedOn w:val="a"/>
    <w:next w:val="a"/>
    <w:qFormat/>
    <w:rsid w:val="00CF2B20"/>
    <w:pPr>
      <w:ind w:left="1050"/>
      <w:jc w:val="left"/>
    </w:pPr>
    <w:rPr>
      <w:sz w:val="20"/>
      <w:szCs w:val="20"/>
    </w:rPr>
  </w:style>
  <w:style w:type="paragraph" w:styleId="20">
    <w:name w:val="toc 2"/>
    <w:basedOn w:val="a"/>
    <w:next w:val="a"/>
    <w:qFormat/>
    <w:rsid w:val="00CF2B20"/>
    <w:pPr>
      <w:adjustRightInd w:val="0"/>
      <w:snapToGrid w:val="0"/>
      <w:spacing w:line="360" w:lineRule="auto"/>
      <w:ind w:firstLineChars="200" w:firstLine="200"/>
      <w:jc w:val="left"/>
    </w:pPr>
    <w:rPr>
      <w:iCs/>
      <w:sz w:val="24"/>
      <w:szCs w:val="20"/>
    </w:rPr>
  </w:style>
  <w:style w:type="paragraph" w:styleId="9">
    <w:name w:val="toc 9"/>
    <w:basedOn w:val="a"/>
    <w:next w:val="a"/>
    <w:qFormat/>
    <w:rsid w:val="00CF2B20"/>
    <w:pPr>
      <w:ind w:left="1680"/>
      <w:jc w:val="left"/>
    </w:pPr>
    <w:rPr>
      <w:sz w:val="20"/>
      <w:szCs w:val="20"/>
    </w:rPr>
  </w:style>
  <w:style w:type="paragraph" w:styleId="a8">
    <w:name w:val="Normal (Web)"/>
    <w:basedOn w:val="a"/>
    <w:qFormat/>
    <w:rsid w:val="00CF2B20"/>
    <w:pPr>
      <w:spacing w:beforeAutospacing="1" w:afterAutospacing="1"/>
      <w:jc w:val="left"/>
    </w:pPr>
    <w:rPr>
      <w:kern w:val="0"/>
      <w:sz w:val="24"/>
    </w:rPr>
  </w:style>
  <w:style w:type="paragraph" w:styleId="21">
    <w:name w:val="Body Text First Indent 2"/>
    <w:basedOn w:val="a5"/>
    <w:qFormat/>
    <w:rsid w:val="00CF2B20"/>
    <w:pPr>
      <w:ind w:firstLine="420"/>
    </w:pPr>
  </w:style>
  <w:style w:type="character" w:styleId="a9">
    <w:name w:val="Strong"/>
    <w:uiPriority w:val="22"/>
    <w:qFormat/>
    <w:rsid w:val="00CF2B20"/>
    <w:rPr>
      <w:b/>
    </w:rPr>
  </w:style>
  <w:style w:type="character" w:styleId="aa">
    <w:name w:val="page number"/>
    <w:basedOn w:val="a1"/>
    <w:qFormat/>
    <w:rsid w:val="00CF2B20"/>
  </w:style>
  <w:style w:type="character" w:styleId="ab">
    <w:name w:val="Hyperlink"/>
    <w:basedOn w:val="a1"/>
    <w:qFormat/>
    <w:rsid w:val="00CF2B20"/>
    <w:rPr>
      <w:color w:val="0000FF"/>
      <w:u w:val="single"/>
    </w:rPr>
  </w:style>
  <w:style w:type="character" w:customStyle="1" w:styleId="4Char">
    <w:name w:val="标题 4 Char"/>
    <w:basedOn w:val="a1"/>
    <w:link w:val="4"/>
    <w:qFormat/>
    <w:rsid w:val="00CF2B20"/>
    <w:rPr>
      <w:rFonts w:ascii="Cambria" w:hAnsi="Cambria"/>
      <w:b/>
      <w:bCs/>
      <w:kern w:val="2"/>
      <w:sz w:val="28"/>
      <w:szCs w:val="28"/>
    </w:rPr>
  </w:style>
  <w:style w:type="paragraph" w:styleId="ac">
    <w:name w:val="No Spacing"/>
    <w:link w:val="Char0"/>
    <w:qFormat/>
    <w:rsid w:val="00CF2B20"/>
    <w:pPr>
      <w:ind w:firstLineChars="200" w:firstLine="200"/>
    </w:pPr>
    <w:rPr>
      <w:rFonts w:eastAsia="仿宋_GB2312"/>
      <w:sz w:val="30"/>
      <w:szCs w:val="22"/>
    </w:rPr>
  </w:style>
  <w:style w:type="character" w:customStyle="1" w:styleId="Char0">
    <w:name w:val="无间隔 Char"/>
    <w:link w:val="ac"/>
    <w:qFormat/>
    <w:locked/>
    <w:rsid w:val="00CF2B20"/>
    <w:rPr>
      <w:rFonts w:eastAsia="仿宋_GB2312"/>
      <w:sz w:val="30"/>
      <w:szCs w:val="22"/>
      <w:lang w:bidi="ar-SA"/>
    </w:rPr>
  </w:style>
  <w:style w:type="character" w:customStyle="1" w:styleId="Char">
    <w:name w:val="页脚 Char"/>
    <w:basedOn w:val="a1"/>
    <w:link w:val="a6"/>
    <w:qFormat/>
    <w:rsid w:val="00CF2B20"/>
    <w:rPr>
      <w:kern w:val="2"/>
      <w:sz w:val="18"/>
      <w:szCs w:val="18"/>
    </w:rPr>
  </w:style>
  <w:style w:type="paragraph" w:styleId="ad">
    <w:name w:val="List Paragraph"/>
    <w:basedOn w:val="a"/>
    <w:qFormat/>
    <w:rsid w:val="00CF2B20"/>
    <w:pPr>
      <w:ind w:firstLineChars="200" w:firstLine="420"/>
    </w:pPr>
  </w:style>
  <w:style w:type="character" w:customStyle="1" w:styleId="3Char">
    <w:name w:val="标题 3 Char"/>
    <w:basedOn w:val="a1"/>
    <w:link w:val="3"/>
    <w:qFormat/>
    <w:rsid w:val="00CF2B20"/>
    <w:rPr>
      <w:b/>
      <w:bCs/>
      <w:kern w:val="2"/>
      <w:sz w:val="32"/>
      <w:szCs w:val="32"/>
    </w:rPr>
  </w:style>
  <w:style w:type="paragraph" w:customStyle="1" w:styleId="MsoNormal0">
    <w:name w:val="MsoNormal"/>
    <w:basedOn w:val="a"/>
    <w:qFormat/>
    <w:rsid w:val="00CF2B2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endParaRPr lang="zh-CN"/>
        </a:p>
      </c:txPr>
    </c:title>
    <c:plotArea>
      <c:layout/>
      <c:pieChart>
        <c:varyColors val="1"/>
        <c:ser>
          <c:idx val="0"/>
          <c:order val="0"/>
          <c:tx>
            <c:strRef>
              <c:f>Sheet1!$B$1</c:f>
              <c:strCache>
                <c:ptCount val="1"/>
                <c:pt idx="0">
                  <c:v>收入决算</c:v>
                </c:pt>
              </c:strCache>
            </c:strRef>
          </c:tx>
          <c:dPt>
            <c:idx val="0"/>
            <c:spPr>
              <a:solidFill>
                <a:schemeClr val="accent1"/>
              </a:solidFill>
              <a:ln>
                <a:solidFill>
                  <a:schemeClr val="bg1"/>
                </a:solidFill>
              </a:ln>
              <a:effectLst/>
            </c:spPr>
          </c:dPt>
          <c:dPt>
            <c:idx val="1"/>
            <c:spPr>
              <a:solidFill>
                <a:schemeClr val="accent2"/>
              </a:solidFill>
              <a:ln>
                <a:solidFill>
                  <a:schemeClr val="bg1"/>
                </a:solidFill>
              </a:ln>
              <a:effectLst/>
            </c:spPr>
          </c:dPt>
          <c:dPt>
            <c:idx val="2"/>
            <c:spPr>
              <a:solidFill>
                <a:schemeClr val="accent3"/>
              </a:solidFill>
              <a:ln>
                <a:solidFill>
                  <a:schemeClr val="bg1"/>
                </a:solidFill>
              </a:ln>
              <a:effectLst/>
            </c:spPr>
          </c:dPt>
          <c:dPt>
            <c:idx val="3"/>
            <c:spPr>
              <a:solidFill>
                <a:schemeClr val="accent4"/>
              </a:solidFill>
              <a:ln>
                <a:solidFill>
                  <a:schemeClr val="bg1"/>
                </a:solidFill>
              </a:ln>
              <a:effectLst/>
            </c:spPr>
          </c:dPt>
          <c:cat>
            <c:strRef>
              <c:f>Sheet1!$A$2:$A$5</c:f>
              <c:strCache>
                <c:ptCount val="4"/>
                <c:pt idx="0">
                  <c:v>一般公共预算财政拨款收入</c:v>
                </c:pt>
              </c:strCache>
            </c:strRef>
          </c:cat>
          <c:val>
            <c:numRef>
              <c:f>Sheet1!$B$2:$B$5</c:f>
              <c:numCache>
                <c:formatCode>General</c:formatCode>
                <c:ptCount val="4"/>
                <c:pt idx="0">
                  <c:v>100</c:v>
                </c:pt>
              </c:numCache>
            </c:numRef>
          </c:val>
        </c:ser>
        <c:firstSliceAng val="0"/>
      </c:pieChart>
      <c:spPr>
        <a:noFill/>
        <a:ln>
          <a:noFill/>
        </a:ln>
        <a:effectLst/>
      </c:spPr>
    </c:plotArea>
    <c:legend>
      <c:legendPos val="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plotArea>
      <c:layout/>
      <c:pieChart>
        <c:varyColors val="1"/>
        <c:ser>
          <c:idx val="0"/>
          <c:order val="0"/>
          <c:tx>
            <c:strRef>
              <c:f>Sheet1!$B$1</c:f>
              <c:strCache>
                <c:ptCount val="1"/>
                <c:pt idx="0">
                  <c:v>支出决算</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cat>
            <c:strRef>
              <c:f>Sheet1!$A$2:$A$5</c:f>
              <c:strCache>
                <c:ptCount val="4"/>
                <c:pt idx="0">
                  <c:v>基本支出</c:v>
                </c:pt>
                <c:pt idx="1">
                  <c:v>项目支出</c:v>
                </c:pt>
              </c:strCache>
            </c:strRef>
          </c:cat>
          <c:val>
            <c:numRef>
              <c:f>Sheet1!$B$2:$B$5</c:f>
              <c:numCache>
                <c:formatCode>0.00%</c:formatCode>
                <c:ptCount val="4"/>
                <c:pt idx="0">
                  <c:v>0.25700000000000001</c:v>
                </c:pt>
                <c:pt idx="1">
                  <c:v>0.74300000000000044</c:v>
                </c:pt>
              </c:numCache>
            </c:numRef>
          </c:val>
        </c:ser>
        <c:firstSliceAng val="0"/>
      </c:pieChart>
      <c:spPr>
        <a:noFill/>
        <a:ln>
          <a:noFill/>
        </a:ln>
        <a:effectLst/>
      </c:spPr>
    </c:plotArea>
    <c:legend>
      <c:legendPos val="b"/>
      <c:legendEntry>
        <c:idx val="2"/>
        <c:delete val="1"/>
      </c:legendEntry>
      <c:legendEntry>
        <c:idx val="3"/>
        <c:delete val="1"/>
      </c:legendEntry>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6DCDD8-87F3-48B6-821D-C498AFDB1DC2}">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31</Pages>
  <Words>2297</Words>
  <Characters>13099</Characters>
  <Application>Microsoft Office Word</Application>
  <DocSecurity>0</DocSecurity>
  <Lines>109</Lines>
  <Paragraphs>30</Paragraphs>
  <ScaleCrop>false</ScaleCrop>
  <Company>微软中国</Company>
  <LinksUpToDate>false</LinksUpToDate>
  <CharactersWithSpaces>15366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20</cp:revision>
  <cp:lastPrinted>2025-07-31T09:30:00Z</cp:lastPrinted>
  <dcterms:created xsi:type="dcterms:W3CDTF">2022-03-23T12:40:00Z</dcterms:created>
  <dcterms:modified xsi:type="dcterms:W3CDTF">2025-08-19T00:52:00Z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2BEF5FBE27804BBC9617B9722E7A496D</vt:lpwstr>
  </property>
</Properties>
</file>