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B" w:rsidRPr="006669FB" w:rsidRDefault="006669FB" w:rsidP="006669FB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国务院促进中小企业发展工作领导小组办公室关于印发为“专精特新”中小企业办实事清单的通知</w:t>
      </w:r>
    </w:p>
    <w:p w:rsidR="006669FB" w:rsidRPr="006669FB" w:rsidRDefault="006669FB" w:rsidP="006669FB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工信部企业〔2021〕170号</w:t>
      </w:r>
    </w:p>
    <w:p w:rsidR="006669FB" w:rsidRPr="006669FB" w:rsidRDefault="006669FB" w:rsidP="006669FB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6669FB" w:rsidRPr="006669FB" w:rsidRDefault="006669FB" w:rsidP="006669FB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各省、自治区、直辖市及计划单列市、新疆生产建设兵团促进中小企业发展工作领导小组，国务院促进中小企业发展工作领导小组各成员单位，教育部，民政部，国务院国有资产监督管理委员会，中国出口信用保险公司：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《为“专精特新”中小企业办实事清单》已经国务院促进中小企业发展工作领导小组第八次会议审议通过，现印发给你们，请结合实际认真贯彻落实，并分别于2021年底、2022年底将落实情况报送国务院促进中小企业发展工作领导小组办公室。</w:t>
      </w:r>
    </w:p>
    <w:p w:rsidR="006669FB" w:rsidRPr="006669FB" w:rsidRDefault="006669FB" w:rsidP="006669FB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6669FB" w:rsidRPr="006669FB" w:rsidRDefault="006669FB" w:rsidP="006669FB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国务院促进中小企业发展工作领导小组办公室</w:t>
      </w:r>
    </w:p>
    <w:p w:rsidR="006669FB" w:rsidRPr="006669FB" w:rsidRDefault="006669FB" w:rsidP="006669FB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（代 章）</w:t>
      </w:r>
    </w:p>
    <w:p w:rsidR="006669FB" w:rsidRPr="006669FB" w:rsidRDefault="006669FB" w:rsidP="006669FB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 xml:space="preserve"> 2021年11月6日</w:t>
      </w:r>
    </w:p>
    <w:p w:rsidR="006669FB" w:rsidRPr="006669FB" w:rsidRDefault="006669FB" w:rsidP="006669FB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6669FB" w:rsidRPr="006669FB" w:rsidRDefault="006669FB" w:rsidP="006669FB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6669FB" w:rsidRPr="006669FB" w:rsidRDefault="006669FB" w:rsidP="006669FB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为“专精特新”中小企业办实事清单</w:t>
      </w:r>
    </w:p>
    <w:p w:rsidR="006669FB" w:rsidRPr="006669FB" w:rsidRDefault="006669FB" w:rsidP="006669FB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为贯彻落实党中央、国务院决策部署，进一步支持“专精特新”中小企业（含省级“专精特新”中小企业和国家级专精特新“小巨人”</w:t>
      </w:r>
      <w:r w:rsidRPr="006669FB">
        <w:rPr>
          <w:rFonts w:asciiTheme="minorEastAsia" w:hAnsiTheme="minorEastAsia" w:hint="eastAsia"/>
          <w:sz w:val="28"/>
          <w:szCs w:val="28"/>
        </w:rPr>
        <w:lastRenderedPageBreak/>
        <w:t>企业）高质量发展，带动更多中小企业走“专精特新”发展之路，特制定本清单。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一、加大财税支持力度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一）2021年底前，中央财政安排不少于30亿元，支持1300家左右专精特新“小巨人”企业（简称“小巨人”企业）高质量发展，为其提供“点对点”服务，同时引导地方财政加大对“专精特新”中小企业支持力度。（财政部、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（二）开展税收服务“春雨润苗”专项行动，开通税费服务直通车，为“专精特新”中小企业提供“点对点”精细服务，建立“一户一档”，实施“一户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策”，进行滴灌式辅导培训，推送红利账单，确保税费政策直达快享、应享尽享。（税务总局负责）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二、完善信贷支持政策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三）建立“专精特新”中小企业名单推送共享机制，鼓励银行业金融机构围绕“专精特新”中小企业需求，量身定制金融服务方案，打造专属信贷产品、加大信贷支持力度、优化相关服务。（人民银行、银保监会、工业和信息化部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四）推动银行业金融机构应用金融科技手段，综合利用行内交易结算以及外部征信、税务、市场监管等信息，提升信用评价和风险管控能力，加大对“专精特新”中小企业信用贷款投放。支持“专精特新”中小企业开展应收账款、存货、仓单融资等业务，鼓励保险机构为“专精特新”中小企业提供信用保险服务。（人民银行、银保监会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lastRenderedPageBreak/>
        <w:t xml:space="preserve">（五）鼓励开发银行在业务范围内为符合条件的“专精特新”中小企业技术改造和转型升级提供金融支持。（开发银行负责）  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三、畅通市场化融资渠道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六）证券交易所、新三板为有上市或挂牌意向的“专精特新”中小企业提供全流程、全周期咨询服务，优化中小上市公司再融资机制，研究扩大分类审核适用范围。在区域性股权市场推广设立“专精特新”专板。（证监会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（七）对拟上市“专精特新”中小企业开展分类指导、精准培育、投融资对接，提高企业在资本市场融资的能力。国家中小企业发展基金加快推进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子基金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遴选，引导社会资本加大对“专精特新”中小企业的股权投资规模。（工业和信息化部、证监会会同各地方按职责分工负责）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八）支持“专精特新”中小企业开展债券融资，通过市场化机制开发更多适合中小企业的债券品种，完善中小企业债券融资增信机制，扩大债券融资规模。（人民银行、证监会、发展改革委、工业和信息化部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（九）支持更多符合条件的“专精特新”中小企业上市、挂牌融资，探索为“专精特新”中小企业申请在新三板挂牌开辟绿色通道。（证监会、工业和信息化部负责）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四、推动产业链协同创新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（十）按产业链梳理“小巨人”企业，推荐参与重点产品和工艺“一条龙”示范应用，支持融入行业龙头企业供应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链创新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链，推动行</w:t>
      </w:r>
      <w:r w:rsidRPr="006669FB">
        <w:rPr>
          <w:rFonts w:asciiTheme="minorEastAsia" w:hAnsiTheme="minorEastAsia" w:hint="eastAsia"/>
          <w:sz w:val="28"/>
          <w:szCs w:val="28"/>
        </w:rPr>
        <w:lastRenderedPageBreak/>
        <w:t>业龙头企业对“小巨人”企业开放资源要素。（工业和信息化部、国资委负责）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（十一）面向“专精特新”中小企业组织实施一批工程化应用验证项目，促进优质产品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先试首用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。（工业和信息化部负责）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（十二）结合企业意愿进行分类筛选，制定推荐目录，向大型骨干企业定向推荐不少于1000家“小巨人”企业，不少于1500项技术产品。（工业和信息化部、国资委、全国工商联按职责分工负责）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（十三）面向重点行业龙头企业征集技术产品问题，组织“专精特新”中小企业等创新创业主体揭榜，以比赛激发创新创业活力，促进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产业链大中小企业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融通创新。（工业和信息化部、财政部负责）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五、提升企业创新能力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十四）支持有条件的“专精特新”中小企业优先参与玻璃新材料、智能语言、智能家电等新培育的制造业创新中心建设。在有关项目遴选中，对“小巨人”企业牵头申报的项目给予加分。（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十五）面向高校、科研院所等征集一批技术成果转移目录，面向“专精特新”中小企业征集一批技术研发需求目录，推动供需双向“揭榜”，促进产学研协同创新。（工业和信息化部、教育部、科技部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（十六）支持知识产权服务机构为中小企业提供从创新到运用全过程服务，开展全国知识产权服务万里行活动，惠及1万家以上中小企业。组建中小企业知识产权服务专家团，提供公益性知识产权咨询</w:t>
      </w:r>
      <w:r w:rsidRPr="006669FB">
        <w:rPr>
          <w:rFonts w:asciiTheme="minorEastAsia" w:hAnsiTheme="minorEastAsia" w:hint="eastAsia"/>
          <w:sz w:val="28"/>
          <w:szCs w:val="28"/>
        </w:rPr>
        <w:lastRenderedPageBreak/>
        <w:t>和信息服务。到2022年底，将5000家“小巨人”企业纳入各级知识产权优势企业培育对象。（知识产权局、工业和信息化部负责）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（十七）组织节能诊断机构开展公益性节能诊断服务，到2022年底，完成2000家以上中小企业节能诊断。（工业和信息化部负责）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 xml:space="preserve">       （十八）工业和信息化部所属事业单位对“小巨人”企业减半收取非强制测试认证服务费。支持计量技术机构为“小巨人”企业提供计量技术服务。（工业和信息化部、市场监管总局负责）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六、推动数字化转型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 xml:space="preserve">       （十九）打造一批数字化标杆企业，到2022年底，组织100家以上工业互联网平台和数字化转型服务商为不少于10万家中小企业提供数字化转型评价诊断服务和解决方案，推动10万家中小企业业务“上云”。（工业和信息化部会同各地方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（二十）组织开展智能制造进园区活动，面向“专精特新”中小企业开展标准宣贯、现场诊断和供需对接，推广1000个以上应用场景，培育智能制造新模式。（工业和信息化部负责）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七、加强人才智力支持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一）组织“专精特新”中小企业人才培训，到2022年底，培训经营管理人才不少于2万名，对“小巨人”企业实现培训服务全覆盖。中德中小企业经营管理人员培训向“小巨人”企业倾斜。（工业和信息化部会同各地方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（二十二）梳理“专精特新”中小企业人才需求，推动各地建设一批工程师协同创新中心，为企业搭建高层次人才供给通道，在国家</w:t>
      </w:r>
      <w:r w:rsidRPr="006669FB">
        <w:rPr>
          <w:rFonts w:asciiTheme="minorEastAsia" w:hAnsiTheme="minorEastAsia" w:hint="eastAsia"/>
          <w:sz w:val="28"/>
          <w:szCs w:val="28"/>
        </w:rPr>
        <w:lastRenderedPageBreak/>
        <w:t>人才计划中对“小巨人”企业予以倾斜。（工业和信息化部会同各地方按职责分工负责）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（二十三）推动各地建立专家志愿服务团或服务工作站，为“专精特新”中小企业提供专家辅导服务。（工业和信息化部、民政部会同各地方按职责分工负责）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八、助力企业开拓市场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四）在中国国际中小企业博览会、APEC中小企业技术交流暨展览会设立“专精特新”展区，为“专精特新”中小企业搭建产品、技术展示平台，助力拓展国内外市场。（工业和信息化部、市场监管总局、有关地方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（二十五）开展中小企业跨境撮合活动，到2022年底，服务不少于2万家中小企业，助力疫情下中小企业国际合作。（工业和信息化部负责）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（二十六）充分发挥政策性出口信用保险作用，为“小巨人”企业提供出口信用保险支持，运用资信数据优势帮助企业开拓国际市场，提高风险管理能力。（中国出口信用保险公司负责）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九、提供精准对接服务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（二十七）建设全国中小企业服务一体化平台移动端，线上集聚政策、融资、创业空间等各类服务资源，实现政策的主动匹配、创新人才的供需对接、服务的“一站式”获取。（工业和信息化部负责）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（二十八）推动省级以上中小企业公共服务示范平台和小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微企业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创业创新示范基地，为“专精特新”中小企业定制专属服务包，提供</w:t>
      </w:r>
      <w:r w:rsidRPr="006669FB">
        <w:rPr>
          <w:rFonts w:asciiTheme="minorEastAsia" w:hAnsiTheme="minorEastAsia" w:hint="eastAsia"/>
          <w:sz w:val="28"/>
          <w:szCs w:val="28"/>
        </w:rPr>
        <w:lastRenderedPageBreak/>
        <w:t>个性化服务产品。（工业和信息化部会同各地方按职责分工负责）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（二十九）举办全国“专精特新”中小企业高峰论坛，编印“小巨人”企业典型案例，加强经验交流和宣传报道，进一步形成全社会支持中小企业“专精特新”发展共识。（工业和信息化部、中央宣传部负责）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十、开展万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人助万企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活动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（三十）为每家“专精特新”中小企业配备一名服务专员，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企</w:t>
      </w:r>
      <w:proofErr w:type="gramStart"/>
      <w:r w:rsidRPr="006669FB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6669FB">
        <w:rPr>
          <w:rFonts w:asciiTheme="minorEastAsia" w:hAnsiTheme="minorEastAsia" w:hint="eastAsia"/>
          <w:sz w:val="28"/>
          <w:szCs w:val="28"/>
        </w:rPr>
        <w:t>策，精准培育。开展“专精特新万企行”活动，2022年底前，推动地方对全部“专精特新”中小企业实地走访，为每家企业至少解决1项困难。（各地方负责）</w:t>
      </w:r>
    </w:p>
    <w:p w:rsidR="006669FB" w:rsidRPr="006669FB" w:rsidRDefault="006669FB" w:rsidP="006669FB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669FB">
        <w:rPr>
          <w:rFonts w:asciiTheme="minorEastAsia" w:hAnsiTheme="minorEastAsia" w:hint="eastAsia"/>
          <w:sz w:val="28"/>
          <w:szCs w:val="28"/>
        </w:rPr>
        <w:t>（三十一）充分发挥地方政府贴近企业、了解企业的优势，结合本地实际，创造性地提出支持“专精特新”中小企业发展的务实举措，重点在设立资金推动提升创新能力和专业化水平、应对和防范风险以及人才落户、住房、子女教育等方面提供更多支持，为中小企业技术人员、高技能人才档案管理、职称评定、奖励申报等方面提供绿色通道；在制定土地供应计划中，优先考虑“专精特新”中小企业用地需求，切实提升企业获得感。（各地方负责）</w:t>
      </w:r>
    </w:p>
    <w:p w:rsidR="00827EAF" w:rsidRPr="006669FB" w:rsidRDefault="00827EAF" w:rsidP="006669FB">
      <w:pPr>
        <w:spacing w:line="480" w:lineRule="auto"/>
        <w:rPr>
          <w:rFonts w:asciiTheme="minorEastAsia" w:hAnsiTheme="minorEastAsia"/>
          <w:sz w:val="28"/>
          <w:szCs w:val="28"/>
        </w:rPr>
      </w:pPr>
    </w:p>
    <w:sectPr w:rsidR="00827EAF" w:rsidRPr="006669FB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9FB"/>
    <w:rsid w:val="001867B7"/>
    <w:rsid w:val="001E18AC"/>
    <w:rsid w:val="00283AAD"/>
    <w:rsid w:val="00326C8A"/>
    <w:rsid w:val="006669FB"/>
    <w:rsid w:val="0075355B"/>
    <w:rsid w:val="007A6164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2021-12-01T08:15:00Z</dcterms:created>
  <dcterms:modified xsi:type="dcterms:W3CDTF">2021-12-01T08:17:00Z</dcterms:modified>
</cp:coreProperties>
</file>