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97" w:rsidRPr="00AA7D97" w:rsidRDefault="00AA7D97" w:rsidP="00AA7D97">
      <w:pPr>
        <w:spacing w:line="480" w:lineRule="auto"/>
        <w:jc w:val="center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关于印发电子信息制造业2023—2024年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稳增长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行动方案的通知</w:t>
      </w:r>
    </w:p>
    <w:p w:rsidR="00AA7D97" w:rsidRPr="00AA7D97" w:rsidRDefault="00AA7D97" w:rsidP="00AA7D97">
      <w:pPr>
        <w:spacing w:line="480" w:lineRule="auto"/>
        <w:jc w:val="center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工信部联电子〔2023〕132号</w:t>
      </w:r>
    </w:p>
    <w:p w:rsidR="00AA7D97" w:rsidRPr="00AA7D97" w:rsidRDefault="00AA7D97" w:rsidP="00AA7D9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</w:p>
    <w:p w:rsidR="00AA7D97" w:rsidRPr="00AA7D97" w:rsidRDefault="00AA7D97" w:rsidP="00AA7D97">
      <w:pPr>
        <w:spacing w:line="480" w:lineRule="auto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各省、自治区、直辖市及计划单列市、新疆生产建设兵团工业和信息化主管部门、财政厅（局）：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现将《电子信息制造业2023—2024年稳增长行动方案》印发给你们，请结合实际认真贯彻实施。</w:t>
      </w:r>
    </w:p>
    <w:p w:rsidR="00AA7D97" w:rsidRPr="00AA7D97" w:rsidRDefault="00AA7D97" w:rsidP="00AA7D97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AA7D97" w:rsidRPr="00AA7D97" w:rsidRDefault="00AA7D97" w:rsidP="00AA7D97">
      <w:pPr>
        <w:spacing w:line="480" w:lineRule="auto"/>
        <w:jc w:val="right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工业和信息化部</w:t>
      </w:r>
    </w:p>
    <w:p w:rsidR="00AA7D97" w:rsidRPr="00AA7D97" w:rsidRDefault="00AA7D97" w:rsidP="00AA7D97">
      <w:pPr>
        <w:spacing w:line="480" w:lineRule="auto"/>
        <w:jc w:val="right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财政部</w:t>
      </w:r>
    </w:p>
    <w:p w:rsidR="00AA7D97" w:rsidRPr="00AA7D97" w:rsidRDefault="00AA7D97" w:rsidP="00AA7D97">
      <w:pPr>
        <w:spacing w:line="480" w:lineRule="auto"/>
        <w:jc w:val="right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2023年8月10日</w:t>
      </w:r>
    </w:p>
    <w:p w:rsidR="00AA7D97" w:rsidRPr="00AA7D97" w:rsidRDefault="00AA7D97" w:rsidP="00AA7D97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AA7D97" w:rsidRPr="00AA7D97" w:rsidRDefault="00AA7D97" w:rsidP="00AA7D97">
      <w:pPr>
        <w:spacing w:line="480" w:lineRule="auto"/>
        <w:jc w:val="center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电子信息制造业2023—2024年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稳增长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行动方案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电子信息制造业是国民经济的战略性、基础性、先导性产业，规模总量大、产业链条长、涉及领域广，是稳定工业经济增长、维护国家政治经济安全的重要领域。为贯彻落实党的二十大和中央经济工作会议精神，更好发挥电子信息制造业在工业行业中的支撑、引领、赋能作用，助力实现工业经济发展主要预期目标，特制定本方案，实施期限为2023—2024年。本方案所指电子信息制造业包含计算机、通信和其他电子设备制造业以及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锂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离子电池、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光伏及元器件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制造等相关领域。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一、总体要求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lastRenderedPageBreak/>
        <w:t>（一）指导思想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以习近平新时代中国特色社会主义思想为指导，完整、准确、全面贯彻新发展理念，坚持扩大内需战略同深化供给侧结构性改革有机结合，强化问题导向、目标导向、结果导向，提升产业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链供应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链韧性和安全水平，保持电子信息制造业经济运行在合理区间，为工业经济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稳增长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提供有力支撑。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（二）基本原则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坚持有为政府与有效市场相结合。充分发挥市场对资源配置的决定性作用，激发电子信息企业活力。更好发挥政府作用，将市场机制和举国体制优势结合，形成市场作用和政府作用有机统一、相互补充、相互协调、相互促进的格局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坚持有效供给与扩大需求相结合。统筹扩大内需同深化供给侧结构性改革，着力释放国内市场需求，合理引导产业资金流向，提高资源配置和利用效率，不断提升电子信息产品供给质量水平，满足人民对美好生活向往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坚持继承巩固与创新发展相结合。优化产业政策环境，巩固已有产业规模，推进产业国内梯度转移，稳住外贸基本盘。深入实施创新驱动发展战略，培育壮大新兴领域热点，推动产业高端化智能化绿色化发展。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坚持立足自身与国际合作相结合。统筹国内和国际两个循环，以更高水平的开放深度嵌入全球电子信息制造业分工体系，保持对全球企业、资源的强大吸引力。立足自身资源，加强基础前瞻领域技术研</w:t>
      </w:r>
      <w:r w:rsidRPr="00AA7D97">
        <w:rPr>
          <w:rFonts w:asciiTheme="minorEastAsia" w:hAnsiTheme="minorEastAsia" w:hint="eastAsia"/>
          <w:sz w:val="28"/>
          <w:szCs w:val="28"/>
        </w:rPr>
        <w:lastRenderedPageBreak/>
        <w:t>究，推动产业高质量发展。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二、主要目标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2023—2024年计算机、通信和其他电子设备制造业增加值平均增速5%左右，电子信息制造业规模以上企业营业收入突破24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万亿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元。2024年，我国手机市场5G手机出货量占比超过85%，75英寸及以上彩色电视机市场份额超过25%，太阳能电池产量超过450吉瓦，高端产品供给能力进一步提升，新增长点不断涌现；产业结构持续优化，产业集群建设不断推进，形成上下游贯通发展、协同互促的良好局面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三、工作举措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（一）坚定实施扩大内需战略，激发市场潜力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 xml:space="preserve">　　1.促进传统领域消费升级。依托技术和产品形态创新提振手机、电脑、电视等传统电子消费，不断释放国内市场需求。推动手机品牌高端化升级，培育壮大折叠屏手机产业生态，从优化成本、改善技术、加大适配等角度促进折叠屏手机生态成熟。以智能化、信息化手段服务全民体育健身需求，宣传推广智能体育典型案例。积极应对人口老龄化加速问题，做好智慧健康养老产业发展引导规范工作，发布智慧健康养老产品和服务推广目录，开展智慧健康养老应用试点示范，持续提高试点示范工作规范化体系化水平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2.培育壮大新增长点。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虚拟现实。落实《虚拟现实与行业应用融合发展行动计划（2022—2026年）》，紧抓战略窗口期，提升虚拟现实产业核心技术创新能力，推动虚拟现实智能终端产品不断丰富。深化虚拟现实与工业生产、</w:t>
      </w:r>
      <w:r w:rsidRPr="00AA7D97">
        <w:rPr>
          <w:rFonts w:asciiTheme="minorEastAsia" w:hAnsiTheme="minorEastAsia" w:hint="eastAsia"/>
          <w:sz w:val="28"/>
          <w:szCs w:val="28"/>
        </w:rPr>
        <w:lastRenderedPageBreak/>
        <w:t>文化旅游、融合媒体等行业领域有机融合，开展虚拟现实典型应用案例征集和产业对接活动，推动虚拟现实产业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走深走实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视听产业。研究制定新一轮支持视听产业发展的接续政策，加快培育视听消费新增长点，促进车载视听、商用显示等新兴领域高质量发展，加快培育OLED TV、Mini LED、8K、75英寸及以上高端显示整机产品消费需求，引领彩色电视机新型技术发展，提升盈利水平。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先进计算。推动先进计算产业发展和行业应用，开展先进计算在工业、城市管理等领域应用案例征集和应用对接，举办先进计算技术创新大赛等活动，加快先进技术和产品落地应用。鼓励加大数据基础设施和人工智能基础设施建设，满足人工智能、大模型应用需求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北斗应用。落实《关于大众消费领域北斗推广应用的若干意见》，增强北斗产业供给能力，打造大众消费领域北斗应用示范场景，提高北斗应用普及率，推动北斗产业化、市场化、规模化发展。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新型显示。面向新型智能终端、文化、旅游、景观、商显等领域，推动AMOLED、Micro-LED、3D显示、激光显示等扩大应用，支持液晶面板、电子纸等加快无纸化替代应用。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智能光伏。深入实施《智能光伏产业创新发展行动计划（2021—2025年）》，推动“智能光伏+储能”在工业、农业、建筑、交通及新能源汽车等领域创新应用，发布第四批智能光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伏试点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示范名单。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（二）加大投资改造力度，推动高端化绿色化智能化发展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 xml:space="preserve">　　1.支持重大项目建设。充分调动各类基金和社会资本积极性，进一步拓展有效投资空间，有序推动集成电路、新型显示、通讯设备、</w:t>
      </w:r>
      <w:r w:rsidRPr="00AA7D97">
        <w:rPr>
          <w:rFonts w:asciiTheme="minorEastAsia" w:hAnsiTheme="minorEastAsia" w:hint="eastAsia"/>
          <w:sz w:val="28"/>
          <w:szCs w:val="28"/>
        </w:rPr>
        <w:lastRenderedPageBreak/>
        <w:t>智能硬件、锂离子电池等重点领域重大项目开工建设，加强能源资源、用工用地等生产要素保障，积极吸引各方资源，提升有效产能供给能力，力争早投产、早见效，带动全行业投资稳步增长。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2.推动产业逆周期升级改造。加快产业转型升级向高质量发展迈进，鼓励企业开展逆周期投资，增强产业竞争力。支持企业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加快产线技术改造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升级力度，依法依规淘汰落后产能，提升中高端产品比重。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3.促进绿色制造和智能化升级。鼓励建设电子信息制造业绿色工厂，按照《电子信息制造业绿色工厂评价导则》开展绿色工厂评价，推进产业资源利用循环化，大力开发推广具备能源高效利用、污染减量化、废弃物资源化利用和无害化处理等功能的工艺技术和设备。面向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碳达峰碳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中和，推动光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伏产业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智能转型升级，支持智能光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伏关键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技术突破、产品创新应用、公共服务平台建设。推动LED产业升级发展，促进健康照明产品等扩大应用。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（三）稳住外贸基本盘，提升行业开放合作水平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1.稳定出口市场。引导电子整机行业优化出口产品结构，提升高附加值产品出口比例，打造品牌国际竞争力。鼓励支持企业积极参加国际展览展示活动，引导企业抓住数字贸易机遇，持续推动出口企业开展跨境电商业务，深挖线上线下国际市场潜力。会同有关部门和重点省市助力企业用足出口退税政策，提高进出境物流效率，推动物流要素高效整合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2.积极开展国际交流合作。坚持扩大开放、合作共赢，持续优化外资营商环境，鼓励外资企业在我国扩大电子信息领域投资。在集成</w:t>
      </w:r>
      <w:r w:rsidRPr="00AA7D97">
        <w:rPr>
          <w:rFonts w:asciiTheme="minorEastAsia" w:hAnsiTheme="minorEastAsia" w:hint="eastAsia"/>
          <w:sz w:val="28"/>
          <w:szCs w:val="28"/>
        </w:rPr>
        <w:lastRenderedPageBreak/>
        <w:t>电路、新型显示、智慧健康养老、超高清视频、北斗应用等领域建立与有关国家（地区）间常态化交流合作机制。贯彻落实“一带一路”倡议，利用光伏、锂电等产业外向型发展优势和全球能源革命机遇，开展双边及多边交流，推动国际产能和应用合作进程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（四）深化供给侧结构性改革，提升行业供给水平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1.提升创新发展水平。加快信息技术领域关键核心技术创新和迭代应用，加强Micro-LED、印刷显示等前瞻性产业布局。面向个人计算、新型显示、VR/AR、5G通信、智能网联汽车等重点领域，推动电子材料、电子专用设备和电子测量仪器技术攻关，研究建立电子材料产业创新公共服务平台，发挥好集成电路材料生产应用示范平台、国家新材料测试评价平台电子材料行业中心等公共服务功能。推动能源电子产业创新发展，实施《关于推动能源电子产业发展的指导意见》，加快太阳能光伏、新型储能产品、重点终端应用、关键信息技术融合创新发展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2.全面提升供给能力。落实《新时期促进集成电路产业和软件产业高质量发展的若干政策》及各项细则，落实集成电路企业增值税加计抵减政策，协调解决企业在享受优惠政策中的问题。着力提升芯片供给能力，积极协调芯片企业与应用企业的对接交流。面向数字经济等发展需求，优化集成电路、新型显示等产业布局并提升高端供给水平，增强材料、设备及零配件等配套能力。统筹资源加大锂电、钠电、储能等产业支持力度，加快关键材料设备、工艺薄弱环节突破，保障高质量锂电、储能产品供给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lastRenderedPageBreak/>
        <w:t>（五）保持产业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链供应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链顺畅，打造协同发展产业生态体系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1.提升产业链现代化水平。聚焦集成电路、新型显示、服务器、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光伏等领域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，推动短板产业补链、优势产业延链、传统产业升链、新兴产业建链，促进产业链上中下游融通创新、贯通发展，全面提升产业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链供应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链稳定性。落实《关于促进光伏产业链供应链协同发展的通知》《关于做好锂离子电池产业链供应链协同稳定发展工作的通知》，促进光伏、锂电产业链上下游加强对接、协同发展，建设统一大市场。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2.推动大中小企业融通发展。支持龙头企业做大做强，持续发挥引领支撑效应。鼓励龙头骨干企业围绕主营业务方向，与创新型中小微企业、高等院校、科研机构和各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类创客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群体有机结合、形成规模。围绕产业上下游及存在共性技术的相关领域，培育和吸引一批专注细分市场、丰富产业链体系的优势企业。进一步加快培育电子信息制造业专精特新“小巨人”企业、制造业单项冠军企业和中小企业特色产业集群，鼓励地方对符合条件的企业和集群给予支持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3.优化产业布局。发挥“链主”企业作用，优化产业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链资源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配置，培育一批有国际竞争力的先进制造业集群。鼓励产业优化重组，合理开展企业并购重组、海外并购等，推动市场有序竞争。支持优势电子整机制造地区建立重点电子整机及上游供应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链企业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名单，做好服务保障工作。落实《关于促进制造业有序转移的指导意见》和《制造业转移发展指导目录（2022年本）》，通过举办1+N产业转移对接活动，鼓励企业优先向中西部地区梯次转移。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（六）优化完善产业政策环境，促进产业经济平稳运行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lastRenderedPageBreak/>
        <w:t>1.推动标准制修订工作。持续做好电子信息技术标准工作，强化先进技术和标准融合，以高标准助力高技术创新。梳理基础电子元器件、半导体器件、光电子器件、电子材料、新型显示、集成电路、智慧家庭、虚拟现实等标准体系，加快重点标准制定和已发布标准落地实施。加强《电能存储系统用锂蓄电池组安全要求》等强制性标准宣贯实施。优化智能电视用户收视体验相关标准制定。深度参与全球电子信息领域标准化活动，推动中国标准“走出去”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2.加大财政金融支持力度。落实高新技术企业税收优惠、研发费用加计扣除、股权奖励递延纳税等政策，减轻企业负担，激励企业加大研发投入。用好首台（套）、首批次政策，推动电子装备、电子材料示范应用。引导社会资本加大对电子信息制造业投入，支持符合条件的企业用好在境内外上市融资、发行各类债券等融资工具。推动各地高质量建设区域性股权市场“专精特新”专板，提升多层次资本市场服务专精特新中小企业水平。组织各地开展“一链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策一批”中小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微企业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融资促进行动，制定精准匹配链上中小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微企业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融资需求的系统性解决方案。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3.强化科技人才支撑。紧跟信息技术发展前沿，支持建立产学密切结合的专业技能人才培养模式，鼓励企业与高校开展订单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式人才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培养、现代学徒制试点计划。加快自主培养人才队伍，支持重点高校开展“集成电路科学与工程”一级学科和集成电路学院建设，扩大招生和专项培养规模。营造促进人才发展的良好环境，搭建企业家、各类专业人才交流平台，营造人才吸引及留驻的良好氛围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lastRenderedPageBreak/>
        <w:t>四、保障措施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（一）加强组织保障。各地有关部门要结合实际，完善有关政策配套措施，稳住重点领域、重点企业发展，构建各具特色、优势互补的行业增长引擎，力争达到预期目标。各地工业和信息化主管部门、有关全国性行业协会于每年11月底分别报送本地区、本行业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稳增长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工作措施进展情况。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（二）完善统筹协调。各有关行业协会、学会、商会等行业组织要积极搭建交流展示平台，定期发布行业运行情况，及时反映并帮助企业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纾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困解难。各有关高校、科研院所要及时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研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判国内外形势对本行业本领域的影响，强化预期管理，共同为电子信息制造业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稳增长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工作建言献策、出力出智。</w:t>
      </w:r>
    </w:p>
    <w:p w:rsidR="00AA7D97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（三）强化运行调度。建立电子信息制造业重点省市、行业协会运行调度机制，加强重点地区、重要领域、主要企业运行监测。每季度组织召开行业运行座谈会，对苗头性、倾向性、潜在性问题进行预警分析，做好政策储备。每季度开展</w:t>
      </w:r>
      <w:proofErr w:type="gramStart"/>
      <w:r w:rsidRPr="00AA7D97">
        <w:rPr>
          <w:rFonts w:asciiTheme="minorEastAsia" w:hAnsiTheme="minorEastAsia" w:hint="eastAsia"/>
          <w:sz w:val="28"/>
          <w:szCs w:val="28"/>
        </w:rPr>
        <w:t>稳增长</w:t>
      </w:r>
      <w:proofErr w:type="gramEnd"/>
      <w:r w:rsidRPr="00AA7D97">
        <w:rPr>
          <w:rFonts w:asciiTheme="minorEastAsia" w:hAnsiTheme="minorEastAsia" w:hint="eastAsia"/>
          <w:sz w:val="28"/>
          <w:szCs w:val="28"/>
        </w:rPr>
        <w:t>专题调研，动态掌握行业发展趋势，协调解决实际困难。及时推广地方经验做法。</w:t>
      </w:r>
    </w:p>
    <w:p w:rsidR="00827EAF" w:rsidRPr="00AA7D97" w:rsidRDefault="00AA7D97" w:rsidP="00AA7D97">
      <w:pPr>
        <w:spacing w:line="48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AA7D97">
        <w:rPr>
          <w:rFonts w:asciiTheme="minorEastAsia" w:hAnsiTheme="minorEastAsia" w:hint="eastAsia"/>
          <w:sz w:val="28"/>
          <w:szCs w:val="28"/>
        </w:rPr>
        <w:t>（四）营造良好氛围。开展多种形式宣讲培训和政策解读。利用世界超高清视频产业发展大会、世界集成电路大会、世界显示产业大会、世界计算大会、世界VR产业大会等国际性会议契机，加强产学研用深入交流，凝聚行业发展共识，形成共同推动行业发展良好氛围。</w:t>
      </w:r>
    </w:p>
    <w:sectPr w:rsidR="00827EAF" w:rsidRPr="00AA7D97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7D97"/>
    <w:rsid w:val="001E18AC"/>
    <w:rsid w:val="00283AAD"/>
    <w:rsid w:val="00326C8A"/>
    <w:rsid w:val="00542979"/>
    <w:rsid w:val="0075355B"/>
    <w:rsid w:val="007A6164"/>
    <w:rsid w:val="00827EAF"/>
    <w:rsid w:val="00AA7D97"/>
    <w:rsid w:val="00E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李宁</dc:creator>
  <cp:lastModifiedBy>李宁</cp:lastModifiedBy>
  <cp:revision>1</cp:revision>
  <dcterms:created xsi:type="dcterms:W3CDTF">2023-09-11T00:59:00Z</dcterms:created>
  <dcterms:modified xsi:type="dcterms:W3CDTF">2023-09-11T01:00:00Z</dcterms:modified>
</cp:coreProperties>
</file>